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cd8b2ffe04ca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speaker call his own nafs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those examples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those examples teach that the seed and branch are fully in charge?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pride do to blessings,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thing the nafs should do with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the better quality: fame or humility?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nafs compared to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ugly-looking things sometimes linked to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so bad about acting like a partner with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should the nafs not say, “I was chosen, so I must be better”?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spoken to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first nature example is used to explain the lesson?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lowers their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they do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carrying something good is not the same as creating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Foolish.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Allah is known to be perfect and free of defect.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tiny seed connected to a tree full of figs.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speaker’s own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those gifts were given to it out of need, weakness, and poverty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 huge wrong and great foolishness.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thought corrected right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conceit affect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come from a believer after receiving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action should replace the wish for people’s praise?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nafs and nature have in common?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were they made as a kind of cover?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judgment is given about worshiping oneself or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warning does this passage give about the nafs?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passage mainly correcting in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tree fruit is used as an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nafs told it should not be proud of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blessings when a person is thankful or unthankful?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18-soz-eng-with-arabic-p01-baslik-ve-birinci-nokta-nefs-i-emmareye-tedib-ve-sukur-dersi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Seeking forgiveness.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ruins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nafs does not truly make those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not let it become proud and steal credit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foolish and a great injustice.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carry the blame for what seems ugly, while Allah is above all fault.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receive good but are where evil is linked.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Thankfulness keeps them right, but unthankfulness cancels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not the real maker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pride and self-love.</w:t>
            </w:r>
          </w:p>
        </w:tc>
      </w:tr>
    </w:tbl>
  </w:body>
</w:document>
</file>