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f687e7b0648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kısa ömrün çok bereketli hâle gelmesi için hangi yola uymak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zamanın bereketlenmesi insanın kendi gücüyle mi, yoksa doğru yaşama şekliyle mi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“gaflet” yerine istenen durum hangi manevi uyanıklıktır?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bir iş, hangi durumda sevaplı bir işe dönüşebilir?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Alışveriş gibi basit bir işin ibadet hükmü alması, İslam’ın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hatırlayışın ardından gelen sonraki manevi basamak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yönelişin kalpte bıraktığı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fanî ömür neden tek başına küçük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Şeriat ve sünnetin hükümleri içinde neyin parıltıları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mümine hangi yönde gayret etmesi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insana, az ömürde çok ahiret kazancı elde etmek için hangi anahtar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anın çok verimli olmasını isteyen biri için hangi rehber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Şeriatın ölçülerine uygun yapılırsa ibadet değeri kazanabilir.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Allah’ı unutmadan yaşaması ve kalben dikkatli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yaşama şekliyle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sünnetine uygun yaşamaya çalışmak tavsiye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 kullanılırsa sonsuz hayata fayda sağlayabilir.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ferahlığı ve manevi huzurdur.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düşünerek O’na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tamamını kuşatan bir din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Sünnet-i Seniyye rehber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Sünnet-i Seniyeye uymak anahtar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isimlerinden gelen feyze daha geniş şekilde nasiplenmeye çalışması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isimlerinin yansımaları bulunduğu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Günlük işlerin değer kazanması hangi şartla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verilen örneğe göre satın alma işi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Dine uygun alışveriş yapıldığında akla ilk gelen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Şer’î hükmü hatırlamak, kişiyi hangi daha büyük hakikate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dünyadaki ömür ile ahiret arasındaki bağ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kalıcı meyveler sonunda kişiyi nereye hazırlamış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sıranın önemli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 hükmü hatırlamak, vahiy ile ilgili nasıl bir duygu veya düşünce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hükmünü düşünmek, kulda hangi güzel yönelişi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fanî ömrün bâki meyve vermesi hangi şarta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geçen çağrıya göre önce ne yapılmalı, sonra ne yapılmalı?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24-soz-p52-yirmidorduncu-soz-besinci-dal-3-meyve-sunnet-i-seniyeye-ittibain-uhrevi-meyveleri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Vahyi ve Allah’ın buyruğunu düşünmeye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Dinî hüküm ve helal ölçüsü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sıradan görünen bir işin bile doğru niyet ve usulle ibadete dönüşebileceğini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Dinin ölçülerine uygun şekilde yapılmalarıyla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Sünnete uygun yaşamak, günlük hayatı ibadete ve geçici ömrü ebedi kazanca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inancın doğru yaşamayla tamamlandığını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Ebedi hayata hazırlamış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doğru amellerin orada kalıcı meyve vereceği söylenerek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Allah’a ve Resûlüne inanılmalı, sonra Resûle uyulmalı.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Sünnete uygun amele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yönelmeyi ve O’na yakınlık hissini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ilahî bildiriyle bağlantılı olduğunu hissettirir.</w:t>
            </w:r>
          </w:p>
        </w:tc>
      </w:tr>
    </w:tbl>
  </w:body>
</w:document>
</file>