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c2241872e42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her yönden olgunluğa açık olduğu halde hakikate ulaşmada niçin zorlandığı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araştırma sürecinde araya giren engellerin sonucu olarak ne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bazı kişilerin kimi iman esaslarında ilerleyememesinin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yansımalarının kişilere göre değişmesi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bir kişinin bir ismin tam yansımasına her zaman zemin olamaması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Küllîlik, cüz’îlik, gölge oluş ve aslîlik bakımından isimlerin tecellilerinin değişmesi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istidatların cüz’îlikten çıkamaması ve gölge düzeyinde kalması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isim bazen bir kişide baskın hale gelince nasıl bir sonuç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bir temsil ile işaret edileceğinin söylenmesi hangi ihtiyacı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“gerçek olgunluk” hakkında hangi temel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bütün isimlere mazhar olabilme ve kemale açık olma durumu, niçin herkesi aynı sonuca götürmüyor?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yansımaların göründüğü kişi veya mahallin yapısına ve kapasitesine bağlanıyor. Yani alan farklı olunca görünen tecelli de farklı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kabiliyeti aynı olmadığından, bazı kimselerin yaratılışı bazı iman hakikatlerinin açılmasına elverişli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 bulma ve onu doğrudan fark etme konusunda farklılıklar doğuyor; bazı kimseler o engelleri aşamıyor.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İnsanın imkânı ve seçimi sınırlı, kabiliyeti de aynı ölçüde değil; ayrıca hakikati ararken önüne çok sayıda engel çıkıyor. Bu yüzden tam ve açık bir kavrayış herkeste aynı şekilde gerçekleşmiyor.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isim o kişide daha belirleyici oluyor ve onun anlayışını, yönelişini ve manevî tecrübesini daha çok şekillendiriyor.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kimseler hakikatin ancak sınırlı ve dolaylı bir görünüşünü kavrayabiliyor; daha kuşatıcı ve asıl seviyeye yükselemiyor.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Aynı hakikatin herkeste aynı ölçüde ve aynı saflıkta görünmediği; kimi yerde geniş, kimi yerde dar, kimi yerde dolaylı, kimi yerde daha doğrudan ortaya çıktığı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mahiyetinin sınırlı olduğunu ve herkesin ilâhî hakikatleri aynı genişlikte taşıyamadığını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açıklık teorik bir imkân olsa da, kişinin gücü, seçimi, yeteneği ve istekleri farklı olduğu için sonuçlar da farklı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tam olgunluğun var olduğu kabul ediliyor; fakat ona ulaşmanın herkes için aynı kolaylıkta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sır çok derin ve kapsamlı olduğu için, doğrudan soyut ifadeler yerine benzetmeli bir anlatımla daha kolay kavratılmak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İnsanların hakikati kavrayışındaki ve manevî gelişimindeki farklılıklar, ilâhî isimlerin değişik biçimde görünmesi ve insanların değişen kabiliyetleriyle ilgilidir.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arayan insanın önünde “çok sayıda perde” bulunması hangi duruma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“Bazıları engeli geçemiyor” ifadesinden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kabiliyetlerin iman esaslarının açılması üzerindeki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görünüşlerindeki çeşitlilik sadece isimlerden mi kaynaklanıyor, yoksa başka bir unsur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tecellinin farklı suretler alması hangi ölçülere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istidadın gölgeden çıkamaması ile bir ismin baskın olması arasında nasıl bir ilişki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anlatılanlar, önceki iki sırdaki görüş ayrılıklarını açıklamaya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öğretici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sahip olduğu imkânlarla sınırlılıkları birlikte nasıl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“engel” düşüncesi daha çok dış şartları mı, insanın kendi yapısını mı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kimselerin hakikati tam görememesi, metne göre hakikatin eksik olmasından mı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cilvelerinin “renklenmesi” ifadesi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24-soz-p08-yirmidorduncu-soz-ikinci-dal-ihtilaflarin-hikmeti-ve-istidad-farklari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isimlerden kaynaklanmıyor; o isimlerin göründüğü muhatabın yapısı da belirleyici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kabiliyetler belli hakikatlerin gelişmesine zemin hazırlarken, bazıları bunu yeterince sağlayamıyor.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çaba aynı başarıyı doğurmuyor; kişilerin manevî ve fikrî ilerleyişi kapasiteye göre sınırlanabiliyor.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doğrudan ve engelsiz biçimde herkese açılmadığını, insanın bilgiye ve yakin derecesine aşama aşama ulaştığını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 sınırlılığını bilmeli; başkalarının farklı kavrayışlarını da kabiliyet ve tecelli farkı çerçevesinde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Görüş ve keşif farklılıklarının, hakikatin değişmesinden değil; onu alan kişilerin kapasite, perde ve tecelli farklarından doğduğunu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sınırlı bir düzeyde kaldığında hakikatin tamamını değil, daha çok belirli bir yönünü öne çıkarır; böylece bir isim daha hâkim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Genişlik-darlık, parça-bütün ilişkisi, gölge-asıl ayrımı gibi derecelere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ilâhî kaynağın, farklı kişilerde ve farklı seviyelerde değişik biçimlerde görünmesi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eksiklik hakikatte değil, onu kavrayan kişinin kapasitesinde ve araya giren engellerdedir.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insanın kendi sınırlı yapısını ve hakikati algılayışındaki tabii kısıtları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 bir yandan yüksek hakikatlere açık kabul ediliyor; öte yandan gücünün, tercih alanının ve yeteneğinin sınırlı oluşu sebebiyle bu açıklığın fiilen farklı derecelerde gerçekleştiği belirtiliyor.</w:t>
            </w:r>
          </w:p>
        </w:tc>
      </w:tr>
    </w:tbl>
  </w:body>
</w:document>
</file>