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a434091bb490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hüccette, kâinattaki güzellik ve düzen hangi sonuca delil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hüccette güzel ve kusursuz sanatın dayandığı temel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sanat ile ilim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maddi güzellikler, üçüncü hüccette neyin belirtisi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32-soz-p38-2-mevkif-3-maksad-3-remiz-3-4-huccet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hüccette ışık ile güneş arasında kurulan benzetme neyi açıklamak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varlıkların akıp giden bir nehre benzetilmesinden hangi anlam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Kabarcık örneğiyle hangi fikir kuvvetlendiriliyor?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sürekli tecelli düşüncesi, fanilik meselesiyle nasıl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32-soz-p38-2-mevkif-3-maksad-3-remiz-3-4-huccet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İkinci, üçüncü ve dördüncü hüccetler birlikte düşünüldüğünde ortak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akıl, kalp ve gözlem birlikte nasıl bir anlama hizmet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hüccette “ibretle bakmak” hangi sonuca ulaştırıyor?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kalp ve vicdanın rolü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32-soz-p38-2-mevkif-3-maksad-3-remiz-3-4-huccet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Bunlar, manevi ve ilmî kemallerin dış dünyaya taşmış izleri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Sanattaki güzellik, onu meydana getiren bilginin ve manevi yeterliliğin dışa yansıması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sanatın sağlam bir plana dayandığı, o planın da derin ilim, ince anlayış ve yüksek manevi kabiliyet gösterdiği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Âlemde görülen süs, güzellik ve inceliklerin, bunları yapan Zât’ın sonsuz derecede güzellik ve kemal sahibi olduğunu gösterdiği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varlıklar yok olsa da güzellik tecellisi devam ettiği için, asıl güzelliğin baki bir kaynaktan geldiği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parıltıların kabarcıkların malı olmadığı gibi, varlıklardaki güzelliklerin de onların kendi özünden gelmediği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gelip geçici olduğu, fakat onlarda görünen güzelliklerin kaynağının sürekli ve değişmeyen olduğu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güzellik ve kemallerin, kendi başlarına olmayıp kalıcı bir cemal ve kemal sahibine işaret ettiğini göstermek için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dış gözlem değil, insanın iç dünyası da doğru bir sezgiyle bu hakikati fark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Kâinata dikkat ve ders alma niyetiyle bakıldığında, onu bu kadar güzel yapanın üstün cemal ve kemal sahibi olduğu hissediliyor.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vicdanî sezgi, hem aklî çıkarım, hem de kâinata bakış bir araya getirilerek ilahî cemal ve kemalin ispatına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bütün güzellik, düzen ve kemalin, ezelî ve ebedî bir Cemal ve Kemal sahibi olan Allah’ın isim ve sıfatlarının yansıması olduğu fikridir.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hüccete göre düzenli ve güzel bir eser rastgele ortaya çıkabilir mi; bunun yerine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programdan güzel ilme geçilmesi nasıl bir düşünme biçimidir?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ruhun manevi güzelliği sanatta nasıl görünür hâle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çok sayıdaki maddi güzelliğin “taşma” olarak anlatılması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32-soz-p38-2-mevkif-3-maksad-3-remiz-3-4-huccet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hüccette ihsanın zenginlikten, lütfun da latiflikten gelmesi niçin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varlıklarda görülen güzelliklerin kalıcı kaynağa bağlanmasının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güneş benzetmesi, varlıkların konumunu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 hareketle, yaratılmış güzelliklere bakarken mümin nasıl bir idrake ulaşmalıdır?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32-soz-p38-2-mevkif-3-maksad-3-remiz-3-4-huccet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hüccette kâinattaki süs ve güzellikler hangi sıfatlara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hüccette “güzel sanat” ile “güzel program” arasındaki ilişki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programın, ilim ve zihne delil sayılması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maddi güzelliklerinden manevi güzelliklere geçiş yapılması, görünenden görünmeyene mi gider?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32-soz-p38-2-mevkif-3-maksad-3-remiz-3-4-huccet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güzelliklerin, daha derin ve asıl olan manevi güzelliklerden kaynaklandığını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İlim aracılığıyla eserde ortaya çıkarak kendini belli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Eserden sebebe ulaşan bir akıl yürütmedir; görülen sonuçtan, onu doğuran niteliğe gidilir.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Rastgeleliği değil; plan, ilim ve bilinçli bir yönlendirmeyi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Eşyada takılı kalmayıp, o güzellikleri veren Rabbimizin cemal ve kemalini hatırlamalıdır.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Varlıkları, güzelliği taşıyan ve yansıtan aynalar gibi gösterir; asıl ışık ise onlardan başkasına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varlıklar değişip gidiyor, fakat güzellik aynı çizgide devam ediyor; bu da kaynağın onlardan üstün ve devamlı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nimetin ve görülen güzelliğin, verende o özelliğin daha yüksek derecede bulunduğunu göstermek için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Evet, görünen güzelliklerden onların arkasındaki manevi ve ilmî kemallere geçilir.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Evrenin bilinçli, bilgili ve hikmetli bir fiilin eseri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sanatın arkasında ölçülü ve sağlam bir plan bulunduğu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Bunlar, yapanın çok yüksek bir güzellik ve mükemmellik sahibi olduğuna işaret ediyor.</w:t>
            </w:r>
          </w:p>
        </w:tc>
      </w:tr>
    </w:tbl>
  </w:body>
</w:document>
</file>