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ada99409248c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hüccette, kâinattaki güzellikler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hüccette, güzel ve düzenli bir işin arkasında ne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San’attaki güzellik, hangi iç güzelliğin dışa görünmesidir?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maddî güzellikler neyin izi gibidir?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hüccette ışık örneği niçin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Yerdeki varlıkların akıp giden nehre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Geçip giden varlıklarda yine de aynı güzelliklerin görünmesi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kabarcığı örneğiyle hangi düşünce kolaylaştırılır?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kâinatta görülen güzelliklerin asıl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çocuklara en çok hangi düşünceyi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hüccette kalp ve vicdan neyi sezmiş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süslü olması, onu yapan hakkında nasıl bir bilgi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ve ilmî güzelliklerin izi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güzelliğin dışa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plan, ilim ve güzel bir kabiliyet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güzellik ve mükemmellik sahibi bir Yaratıcıyı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Parlayan güzelliğin asıl kaynaktan geldiği düşüncesi kolaylaştırılır.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güzelliklerin varlıkların kendinden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gelip geçici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şeylerin, onları veren güzel bir kaynağı gösterdiğini anlatmak için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yapanın güzellik sahibi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böyle güzel yapanın çok mükemmel olduğunu sezmiş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güzel şeyin Allah’ı hatırlattığını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Ezelî ve ebedî olan Allah’tır.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hüccette güzel san’atın dayandığı ilk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plan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çok sayıdaki güzellik, hangi daha büyük güzelliklerin yansımasıdır?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Dördüncü hüccette “ışık veren ışıklı olur” sözüyle ne anlatılmak istenir?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gelen varlıklarda da aynı güzelliklerin görülmesi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hangi yönü daha çok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parlaklığın yenilerinde de sürmesi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güzellikler için hangi genel hükme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hüccete göre, kâinata ibretle bakınca insan içinde ne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sezgi, kâinatı düzenleyenin nasıl biri olduğunu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hüccette program, ilim ve san’at arasında nasıl bir sıra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iş görmek, yapanın sadece gücünü mü gösterir, yoksa başka bir şeyi de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32-soz-p38-2-mevkif-3-maksad-3-remiz-3-4-huccet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Veren şeyde, verdiği özelliğin bulunduğu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manevî ve ilmî güzelliklerin yansımasıdır.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ilme ve anlayışa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düzgün bir planıdır.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Allah’ın cemal ve kemalinden bir yansıma olduğu hükmüne varılır.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Kaynağın devam ettiğini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mükemmellik sahibi oluşu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Güzelliğin tek bir sürekli kaynaktan geldiği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şeyleri de gösterir; ilmini ve manevî güzelliğini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plan vardır, o plan ilmi gösterir, ilim de güzel san’atta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ve çok mükemmel biri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bir sezgi ve hayranlık doğar.</w:t>
            </w:r>
          </w:p>
        </w:tc>
      </w:tr>
    </w:tbl>
  </w:body>
</w:document>
</file>