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00a4ee1dd416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 önce hangi en küçük varlıkla karşılaşıyor?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kendisinin tek başına basit bir şey olmadığını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Zerrenin sözlerine göre ona gerçekten hükmedebilmek için hangi iki büyük özellik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kendisi gibi sayısız parçacıklar üzerinde söz geçiremeyen birine ne demek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kandaki kırmızı hücreler niçin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kendi işlerine dışarıdan karışılmasının sonucunu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bozulmama durumu bize varlıkların düzeni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Hayalî kişinin acizliği hangi yönlerden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verdiği en temel mesajı kısa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konuşma kiminle başlatılıyor?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Hayalî davacı, zerreye hangi yolla sesleniyor?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biri tek bir zerre üzerinde bile gerçek sahiplik iddia edemez demek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bir ilim ve güçlü bir kudret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iş yaptığını ve çeşitli yapılarda görev aldığını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zerre ile karşılaşıyor.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Cansız, güçsüz, görmez ve şuursuz gibi sıfatlarla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ölçülü ve hikmetli bir nizamla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Düzenin bozulacağını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Zerrenin bağlı olduğu daha büyük düzeni göstermek için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ve felsefe anlayışıyla sesleniyor.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varlıklardan biri olan zerre ile başlatılıyor.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ortak ilah yoktur; her şey tek bir Rabbin emriyle 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varlığın bile Allah’tan başkasına verilemeyeceği ve her şeyin tek bir Rabbin idaresinde olduğudur.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 kendini hangi bakış açısıyla savunuyor?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Zerrenin birçok farklı yerde görev yapması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dipnotta hareket eden şeyler için hangi mana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Hareket etmeyen varlıklar için nasıl bir anlam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“Bütün yıldızları elinde tutmayan, bir tek zerreye Rab olamaz” düşüncesi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 neden müdahaleyi kabul etmiyor?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Allah’ın hangi sıfatlarını anlamak mümkündür?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parçayı okuyan bir öğrenci hangi sonucu söyleyebilir?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hayalî iddia sahibinin sözü niçin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 kendisinin hangi özelliği sebebiyle rastgele çalışmadığını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farklı yapılara girip görev yaptığını söyleyerek neyi ispatlıyor?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kan hücrelerinin anılması, zerrenin hangi bağlantısını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32-soz-p02-1-mevkif-zerre-ile-munazara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Bulundukları yerde yaratıcıyı gösteren bir mühür gibi oldukları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Gittikleri yerlerde birliği gösteren işaretler gibi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değil, bilen ve yöneten bir kudretle çalıştığını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 ve Rabbânî hikmet açısından cevap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düzen, Allah’ın tek yaratıcı ve yönetici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İlim, kudret, hikmet ve her şeyi kuşatan hâkimiyet sıfatlarını anlamak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görevi çok hassas ve düzeni çok kusursuzdur; eksik bir güç bunu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şeyi yönetmek için bütün kâinatı kuşatan bir kudret gerektiğini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 bedendeki büyük bir sisteme bağlı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yönlü bir plan içinde bulunduğunu ispatlıyor.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görevini düzenli şekilde yapması sebebiyle.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iddiasını gerçekleştirecek bilgiye, güce ve hâkimiyete sahip değil.</w:t>
            </w:r>
          </w:p>
        </w:tc>
      </w:tr>
    </w:tbl>
  </w:body>
</w:document>
</file>