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2d6053894f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küre-i arz hakkında kurduğu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 hücrelerinden sonra bu yönlendirme hangi varlıklara doğru devam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Dünyadan sonra sıra hangi büyük varlıklara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zincirin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tek bir zerre üzerinde bile gerçek hâkimiyet kurabilmesi için neyi başarması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iddiacının sürekli daha üst basamağa gönderilmesi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gerçek hâkimiyet neden parça parça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İddiacının bir yer bulma ümidi niçin sürekli boşa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İddiada bulunan kişi, küre-i arz hakkında nasıl bir umut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Zerreden yıldızlara kadar uzanan sıra, büyüklük bakımından nasıl bir ilerleme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“önce benden üsttekine güç yetir” demesi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 ve insan türünün bu zincirde yer alması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büyük olanı yönetemeyen, daha küçük olana da gerçek anlamda sahip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Güneşe ve ardından yıldızlara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Hücreye, insan bedenine, insan türüne, canlılarla süslü yeryüzüne, sonra da dünyanın kendisine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aldatabileceğini ve orada söz geçirebileceğini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karşısına her seferinde daha geniş ve sağlam bir ilahî düzen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varlıklar birbirine bağlıdır; birini yönetmek için bütünü kuşatan güç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gücünün yetmediğini ve iddiasının boş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Ondan daha büyük düzenleri de kontrol edebilmesi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da büyük düzenin içinde yer aldığını ve bağımsız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 üzerinde söz sahibi olmak için onun bağlı olduğu daha geniş sistemi de yönetmek gerektiği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Küçükten büyüğe doğru adım adım yükselen bir ilerleme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kandırıp kendine bir pay çıkarabileceğini umuyor.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“canlı türlerinden dokunmuş elbisesi” ifadesi, burada hangi anlamı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de yıldızlara yönlendirmesi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 neden tek başına ele alınmıyor?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biri yıldızlar üzerinde bile hâkim değilse, bu parçaya göre küçük varlıklarda niçin hâkim olamaz?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iddiacı kişinin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amaç neden gerçekleşmez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Dipnotta sayılan varlıklar arasında en küçük olan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Sayılan varlıklar arasında en büyük topluluk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sıralama bize kudretin nasıl olması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İddiacının her seferinde başka bir varlığa gönderilmesi, onun hangi yönünü ortaya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vermek istediği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anlatılanlar, tevhid inancını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varlıklar da büyük sistemin içinde yer alır ve ondan bağımsız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da güneş ve diğer büyük düzenlerle bağlantılı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bile tek başına bağımsız olmadığının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canlılarla süslü, düzenli ve anlamlı bir yapı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da dâhil her şey daha büyük bir düzene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kendine bir yer ve etki alanı bulmaktır.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Rabbin idaresinde olduğunu göstererek tevhidi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varlıktan göklere kadar her şey Allah’ın emri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Acizliğini ve iddiasının dayanaksızlığını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kudretin sınırlı değil, her şeyi kapsayan bir kudret olması gerektiğini öğretir.</w:t>
            </w:r>
          </w:p>
        </w:tc>
      </w:tr>
    </w:tbl>
  </w:body>
</w:document>
</file>