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4f1b17c854b2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Âyette anne ve babaya karşı hangi temel davranış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babanın evladına karşı duygusu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Babanın kalbinde evladına karşı nasıl bir istek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nedeni olarak babada hangi kötü duygunun olmadığı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tartışmalar genelde hangi iki sebepten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Çocuğun babasını haksız bulması ona hangi izni vermez?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 Allah için sevmenin bir işareti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Evladın ölümü halinde sabırla beraber hangi güzel hâl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annenin veya babanın, vefat eden çocuğu için doğru düşüncesi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Sabrın yanına eklenen ikinci güzel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karşı kaba bir söz bile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karşı görevleri çiğnemenin kötü oluşu bu metinde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Kıskançlık ve çekememe duygusunun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Evladının daha iyi olmasını isteme arzusu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Babada, çocuğunun iyiliğini isteme duygusu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saygı ve şefkat gösterilmesi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hâli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vefat ettiğinde sabır göstermek ve isyana düşmemektir.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İsyan etme ve saygıyı bırakma izni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Kıskançlıktan veya haksızlıktan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kabalık bile yasaklandığı için bunun çok kötü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hakkı çok büyüktür ve onlara saygısızlık ciddi bir kusurdur.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verenin de alanın da Allah olduğunu düşünmelidir.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çocuk ile baba arasında yaratılıştan büyük bir kavga sebebi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hâlde çocuğun babasına karşı yanlış tavrı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çekişmenin kaynaklarından biri olarak hangi kötü duygu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 sevmenin doğru yönü nasıl tarif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 koruyup kollamak nasıl olursa ibadet gibi değer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 muhafaza etmek neden dinî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sevginin Allah için olduğunun belirtisi hangi zor anda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Sonunda söylenen teslimiyet cümlesi neyi kabul etmektir?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karşı beş dereceli bir saygı ve merhamet çağrısı yapılması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“öf” bile dememek bize hangi ölçüyü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Baba çocuğu hakkında nasıl bir iyilik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bilgi, çocuğun babasına karşı tutumunu nasıl etkilemelidir?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Allah’ın bir emaneti ve hediyesi bilerek sevmek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Haset ve kıskançlık duygusu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başkaldırmak ve onu incitmek yanlış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doğal olarak böyle bir sebep bulunmadığı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hükmün yalnız Allah’a ait olduğunu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 vefat ettiğinde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Allah’ın verdiği emanete sahip çıkmak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emanetleri koruma niyetiyle olursa değer kazanır.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itaatli, saygılı ve kırmamaya dikkat eden biri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Çocuğunun kendisini geçmesini ve daha iyi olmasını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bir saygı ölçüsü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babanın hakkının çok kıymetli olduğunu gösteriyor.</w:t>
            </w:r>
          </w:p>
        </w:tc>
      </w:tr>
    </w:tbl>
  </w:body>
</w:document>
</file>