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7ef5d0be78476b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Şerik davasını temsil eden kişi, zerreden ümidini kesince hangi varlığa yöneliyor?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kişi kırmızı kan hücresine kendisini nasıl tanıtıyor?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Kırmızı kan hücresi, tek başına ele alınamayacağını anlatmak için önce hangi topluluğa dikkat çekiyor?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Kırmızı kan hücresine göre ona sahip olduğunu söyleyen birinin, sadece onu değil başka nerelere de hükmedebilmesi gerekir?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32-soz-p04-1-mevkif-kureyvat-i-hamra-ile-munazara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32-soz-p04-1-mevkif-kureyvat-i-hamra-ile-munazara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32-soz-p04-1-mevkif-kureyvat-i-hamra-ile-munazara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32-soz-p04-1-mevkif-kureyvat-i-hamra-ile-munazara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kırmızı kan hücresinin çalışmasında hangi iki özellik özellikle vurgulanıyor?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Kırmızı kan hücresi, karşısındaki kişinin niçin en küçük bir müdahale bile yapamayacağını söylüyor?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Burada “sağır tabiat” ve “kör kuvvet” gibi ifadelerle ne anlatılmak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Kırmızı kan hücresi, karşısındaki iddiaya neden zaman ayırmak istemediğini nasıl açıklıyor?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32-soz-p04-1-mevkif-kureyvat-i-hamra-ile-munazara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32-soz-p04-1-mevkif-kureyvat-i-hamra-ile-munazara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32-soz-p04-1-mevkif-kureyvat-i-hamra-ile-munazara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32-soz-p04-1-mevkif-kureyvat-i-hamra-ile-munazara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bölümün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tartışma hangi iki taraf arasında geçiyor?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Şirk temsilcisi neden kırmızı kan hücresinden “iş bulmayı” umuyor?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Kırmızı kan hücresi, kendisinin yalnız olmadığını söyleyerek hangi düşünceyi çürütüyor?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32-soz-p04-1-mevkif-kureyvat-i-hamra-ile-munazara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32-soz-p04-1-mevkif-kureyvat-i-hamra-ile-munazara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32-soz-p04-1-mevkif-kureyvat-i-hamra-ile-munazara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32-soz-p04-1-mevkif-kureyvat-i-hamra-ile-munazara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Hem aynı görevdeki diğer hücrelere hem de dolaştıkları beden hücrelerine hükmedebilmesi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Kendi benzerlerinden oluşan kan içindeki topluluğa dikkat çekiyor.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Sebepler, tabiat ve felsefe adına onun sahibi ve yöneticisi olduğunu ileri sürüyor.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Kandaki kırmızı kan hücresine yöneliyor.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Görevinin önemli, düzeninin de çok hassas olduğunu; bu yüzden boş ve karışık sözlerle oyalanamayacağını söylüyor.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Şuursuz ve bilgisiz sebeplerin böylesine ince işleri yönetemeyeceği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ondaki düzen çok kusursuzdur; böyle bir işi ancak her şeyi bilen, gören, işiten ve yapan bir Zât idare edebilir.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Görevinin düzenli olması ve hikmetli bir şekilde çalıştırılması vurgulanıyor.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Tek bir parçaya bakıp onu bağımsız zannetme düşüncesini çürütüyor.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Zerrede istediği sonucu alamadığı için daha başka bir varlıkta sahiplik iddiasını kabul ettirmeyi umuyor.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Şirk düşüncesini temsil eden biriyle kırmızı kan hücresi arasında geçiyor.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Küçücük bir varlığın bile kendi başına veya kör sebeplerle açıklanamayacağı, hepsinin tek bir İlâhî idareye bağlı olduğudur.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Kırmızı kan hücresinin sözlerinden, beden içindeki görevleri hakkında hangi sonuç çıkarılır?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beden hücrelerinden söz edilmesi neyi göstermektedir?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gerçek anlamda sahiplik iddiasında bulunan birinde hangi iki temel nitelik bulunmalıdır?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Kırmızı kan hücresinin “siz karışamazsınız” demesinin sebep-sonuç ilişkisi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32-soz-p04-1-mevkif-kureyvat-i-hamra-ile-munazara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32-soz-p04-1-mevkif-kureyvat-i-hamra-ile-munazara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32-soz-p04-1-mevkif-kureyvat-i-hamra-ile-munazara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32-soz-p04-1-mevkif-kureyvat-i-hamra-ile-munazara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 hangi inanç esasına delil getiriliyor?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Kırmızı kan hücresinin karşı tarafı kovması, anlatım bakımından neyi güçlendiriyor?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Metindeki kırmızı kan hücresi hangi canlı yapı içinde bulunmaktadır?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Ona yöneltilen iddia, hangi düşünce yolları kullanılarak söyleniyor?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32-soz-p04-1-mevkif-kureyvat-i-hamra-ile-munazara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32-soz-p04-1-mevkif-kureyvat-i-hamra-ile-munazara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32-soz-p04-1-mevkif-kureyvat-i-hamra-ile-munazara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32-soz-p04-1-mevkif-kureyvat-i-hamra-ile-munazara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Kırmızı kan hücresinin “mührümüz ve görevimiz bir” anlamındaki yaklaşımı neyi bildirir?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Hücre, kendi benzerlerine sahip olmayı neden şart koşuyor?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Hücrenin dolaştığı beden hücrelerinden söz etmesi, onun hangi yönünü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“Her şeyi görür, işitir, bilir ve yapar bir zât” ifadesinden nasıl bir anlam çıkarılır?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32-soz-p04-1-mevkif-kureyvat-i-hamra-ile-munazara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32-soz-p04-1-mevkif-kureyvat-i-hamra-ile-munazara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32-soz-p04-1-mevkif-kureyvat-i-hamra-ile-munazara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32-soz-p04-1-mevkif-kureyvat-i-hamra-ile-munazara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Düzen son derece mükemmel olduğu için şuursuz sebeplerin araya girmesi mümkün değildir.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İnce bir hikmet ve büyük bir kudret bulunmalıdır.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Kırmızı kan hücresinin başka yapılarla bağlantılı olduğunu ve bütüncül bir sistem içinde çalıştığını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Rastgele değil, belirli bir düzen ve hikmet içinde çalıştığı sonucu çıkarılır.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Sebepler, tabiat ve felsefe diliyle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Kanın içinde bulunmaktadır.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Şirk iddiasının geçersiz ve değersiz olduğunu güçlü şekilde hissettiriyor.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birliği ve ortağının bulunmaması esasına delil getiriliyor.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düzeni kuran ve yönetenin eksiksiz ilim ve kudret sahibi olduğu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Diğer yapılarla ilişkili ve hizmet içinde olan yönünü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tek bir tanesi diğerlerinden kopuk ve bağımsız değildir; hepsi birlikte düzen içinde çalışır.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Benzerlerinin aynı nizam ve aynı görev anlayışıyla hareket ettiğini bildirir.</w:t>
            </w:r>
          </w:p>
        </w:tc>
      </w:tr>
    </w:tbl>
  </w:body>
</w:document>
</file>