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9e94b04c6403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insanın hangi iç yönleri ve hangi manevî sahifeleri üzerinden birçok İlâhî isme ayna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Ruh, kalp ve aklın isimleri “okuması”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sadece insanı değil cennet ve kâinat unsurlarını da niçin aynı benzetme içinde topluyor?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Âlem ile insan arasında nasıl bir karşılıklı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32-soz-p55-3-mevkif-2-nokta-1-mebhas-insanin-batini-sahifeleri-ve-kulli-aynalar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Yıldızların göğe ait süsler gibi gösterilmesi hangi sanat boyutunu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“Âlem büyük bir insandır” ifadesiyle “insan küçük bir âlemdir” ifadesi birlikte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bu varlıkların “sadık şahit” oluşu neye delâlet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Cemal, kemal, rahmet ve muhabbet için “ayrı ayrı ayna” denmesi neyi ima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32-soz-p55-3-mevkif-2-nokta-1-mebhas-insanin-batini-sahifeleri-ve-kulli-aynalar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Nihayetsiz kemal türlerinin birlik dairesinde bulunması neyi merkeze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başında, insanın maddî yönünden çok hangi manevî tarafına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geçen isim örnekleri, insanın özellikle hangi nimete mazhar olduğunu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Cennetin, yerin, baharın ve semanın çiçeğe benzetilmesi ortak olarak hangi bakış açısını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32-soz-p55-3-mevkif-2-nokta-1-mebhas-insanin-batini-sahifeleri-ve-kulli-aynalar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âlemin insana benzediği, insanın da küçük bir âlem gibi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aynı sanatkârın eserleri olarak benzer güzellik ve isim tecellilerini taşıdığını göstermek için topluyor.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yaratılışındaki özelliklerle İlâhî isimlere delil olması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ruhu, kalbi, aklı; ayrıca hayatı ve latifeleri üzerinden buna ayna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varlığın bu tecellilerin farklı yönlerini özel biçimde yansıttığını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güzelliği, mükemmelliği, merhameti ve sevgisinin gerçekliğini doğrulayan deliller olmalarına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ile kâinat arasında karşılıklı benzerlik ve anlam bağı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estetik düzen ve süsleme boyutunu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bu varlıkları güzellik, ölçü ve rahmet taşıyan sanat eserleri olarak görme bakış açısını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nimetine ve o hayatın korunup sürdürülmesine mazhar olduğunu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 dünyasına; özellikle ruh, kalp, akıl, hayat ve latifeler yönüne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gerçek değer ve mükemmelliğin Allah’ın birliğini merkeze aldığını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 ve baharın da çiçek gibi sunulması hangi ortak özelliği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Huri, melek, cin, insan ve ruhanîler neden “güzel şahıs” hükmünde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Huri, ruhanî, melek, cin ve insan topluluklarının özel olarak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Huri, ruhanî, melek, cin ve insan türlerinin birer güzel şahıs gibi gösterilmesi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32-soz-p55-3-mevkif-2-nokta-1-mebhas-insanin-batini-sahifeleri-ve-kulli-aynalar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“Âyet” ve “emare” ifadeleri bu şahitliğin hangi yönünü tamamlar?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Sonsuz kemallerin vahidiyet ve ehadiyet dairesinde elde edilmesi nasıl bir tevhid dersi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insanın hangi cephesi, dış görünüşünden daha ileri bir okuma alanı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isim örneklerinden hareketle, insanın taşıdığı tecellilerin ana ekseni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32-soz-p55-3-mevkif-2-nokta-1-mebhas-insanin-batini-sahifeleri-ve-kulli-aynalar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 ile güneş, sema bağlamında nasıl konumlandırılıyor?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Yeryüzü, bahar, sema ve güneşin art arda zikredilmesi nasıl bir düşünce akışı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 ışığındaki renklerin özellikle anılması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varlıklar yalnız isimleri göstermekle mi kalıyor, yoksa başka bir vazife de görüyor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32-soz-p55-3-mevkif-2-nokta-1-mebhas-insanin-batini-sahifeleri-ve-kulli-aynalar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türün kasıtlı, düzenli ve manalı biçimde yaratıldığını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varlık türlerinin de aynı İlâhî sanat ve isim tecellilerine mazhar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birinin belirli bir suret, düzen ve maksatla yaratıldığını göstermek için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Canlılık, güzellik, süs ve rahmet tecellisini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Canlılık, devamlılık ve diriltilmiş olma hakikatidir.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ve içsel cephesi daha geniş bir okuma alanı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bütün mükemmelliklerin Allah’ın birliğinden ve her şeydeki özel tecellisinden geldiği dersini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şahitliğin işaret edici ve gösterici yönünü tamamlar.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Ayrıca İlâhî cemal, kemal, rahmet ve muhabbete ayrı ayrı ayna oluyorlar.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varlıkta bile çok katmanlı sanat ve hikmet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Küçükten büyüğe, yakından uzağa uzanan geniş bir tefekkür alanı kuruyor.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 göğün süsleri gibi gösteriliyor; güneş de ayrı bir çiçek gibi anılıyor ve ışığındaki renkler onun nakışları sayılıyor.</w:t>
            </w:r>
          </w:p>
        </w:tc>
      </w:tr>
    </w:tbl>
  </w:body>
</w:document>
</file>