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3abcbdcc47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sapkınlık ve taşkınlık yolu insanı genel olarak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Allah’a iman ve tevekkülden uzak kalması, kendisi hakkındaki algısını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Fanilik düşüncesi sevgi ilişkilerini neden zehirler?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“faydasız çarpışma” içine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kısa ömürlü ve sınırlı kudretli oluşu, sonsuz emellere yönelince hangi sonuca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inkâr yolundaki kişinin yaşadığı manevî eziyeti neden cehenneme benzetir?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kendini kendi başına yeterli sanması metinde neden yanlış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hayatını idare edemeyen insanın çevresinde gördüğü düşmanlık duygusu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kabir kapısına sürekli bakmak hangi ruh hâlini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bakış açısındaki insan neden başkalarının acısını da kendi içinde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şirk, dalalet, günahkârlık ve sefahat ortak olarak hangi tesiri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tanımamak ile insanın aczini daha sert hissetmesi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imkânlarıyla sonsuz dertleri ve arzuları çözmeye çalıştığı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sevilen her şeyin kaybolacağı düşüncesi, sevgiyi huzur yerine acıya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sahipsiz, korunmasız ve sadece faniliğe mahkûm biri gibi görmeye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hem manen alçaltır hem de kaldıramayacağı kadar ağır sıkıntıların altına sokar.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zararlılardan büyük yıkımlara kadar pek çok tehlikeyi üstüne geliyor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küçücük gücüyle kendi hayatını bile tam idare edemez.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korku, elem, karanlık ve ümitsizlik onu daha dünyada kuşatmaktadır.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Yorucu ama neticesiz bir mücadeleye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Dayanacağı yüce bir merci kalmayınca kendi zayıflığı bütün ağırlığıyla üzerine çöker.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düşürür, zayıflatır ve ruhuna ağır bir yük bindirir.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insanlıkla ve dünyayla ilgili olayları da sahipsiz ve anlamsız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ölüm korkusu taşıyan huzursuz bir ruh hâlini yansıtır.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şeylere bağlanmanın bu bakış açısında huzur vermemesi neyle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sevdiği varlıklardan ayrılacağını düşünmesi niçin sürekli elem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sınırsız emel peşinde koşmasının “boşuna” görülmesi hangi ölçüye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geçici hissizlik ne zaman bozulmaya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Allah’a gerçek kul olmayınca kendisi hakkında hangi yanılgıya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Mikroptan zelzeleye kadar uzanan örnekler hangi düşünceyi kuvvetlendirmek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ve insanı ilahî idareden kopuk düşünmek, olayların insanda bıraktığı etkiyi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hem kendi elemini hem başkalarının elemini çekmesi hangi düşünce hatasından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yanlış yolun insana yüklediği ağırlık sadece maddî midir,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Allah’a dayanmayan insan “zayıf” ve “muhtaç” bir varlık olarak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Sapma yolundaki kimseler bu manevi acıyı neden her zaman açıkça hissetmez?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böyle bir kişinin daha ahirete varmadan önce ne yaşadığı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ve kabir gerçeği yaklaşınca o acılar daha açık biçimde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Elde bulunan ömür, güç ve imkânın o emellere ulaşmaya elvermemesi ölçüsüne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sevgiyi kalıcı sevinçten çok kayıp korkusuna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bağlılığın sonunda ayrılık ihtimali bulunduğu için huzur değil korku üretmesiyle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rahmetli bir idare altında görmek yerine sahipsiz ve amaçsız sanmasından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hikmetsiz ve merhametsiz görmesine, bu yüzden de daha fazla bunaltı yaşamasına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her yönden kuşatılmış ve kendi başına savunmasız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kendisinin tam sahibi ve yöneticisi olduğunu sanır.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iken cehennem azabını andıran ağır bir manevi sıkıntı çektiği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gaflet ve sarhoşluk gibi bir hal, bir süreliğine duygularını köreltir.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başına ne ihtiyaçlarını karşılayabilir ne de tehlikeleri bertaraf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ağırlık manevîdir; korku, elem, ayrılık ve çaresizlik yüküdür.</w:t>
            </w:r>
          </w:p>
        </w:tc>
      </w:tr>
    </w:tbl>
  </w:body>
</w:document>
</file>