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ebf74add84d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mü’mine ilk olarak iradesi hakkında nasıl bir yol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Cüz’î iradeden küllî iradeye yönlendirme, kulun hangi yanlış yükünü hafifletir?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Düşüncesi zayıf kalan kimseye hangi manevi kaynak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Fikrin yetersizliği karşısında Kur’an ve iman nasıl bir işlev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kendisi üzerindeki sahiplik iddiası nasıl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kendi kendisinin tam sahibi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dünyadaki konumuna göre hangi ahlâkî tutum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misafir oluşu, dünya ile ilişkisini nasıl ölçülü hale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Mikrop, salgın, kıtlık ve deprem gibi olaylar hangi inanç çerçevesinde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Salgın, tufan, kıtlık ve deprem gibi şeylerin dizginlerinin Allah’ın elinde olduğunun söylenmesi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sınırlı insan iradesi ile ilahî irade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sınırlı iradesi karşısında niçin daha kapsamlı bir iradeye dayanması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anlayışını aydınlatan ve önünü gösteren manevi bir ışık işlevi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aydınlığına yönelip imanın ışığıyla bakması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sonucun mutlak sorumluluğunu kendi başına taşıma yükünü hafifletir.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sınırlı tercih gücüne fazla güvenmek yerine, işlerini Allah’ın kuşatıcı iradesine bırakması öğütlenmektedir.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Geçiciliği hatırlatır; sahiplenme, aşırı tasarruf ve gereksiz müdahaleyi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Gereksiz yere her şeye müdahale etmemesi, haddini bilmesi ve taşkınlık yapmaması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varlığı ve hayatı kendinden değil, sonsuz kudret ve rahmet sahibi Allah’tandır.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kendisinin gerçek sahibi sayılmamakta, Allah’ın kulu ve mülkü olduğu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seçimi dar ve yetersizdir; her şeyi kuşatacak güçte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dar alanlı seçimini mutlaklaştırmamalı; daha büyük ve kuşatıcı olan ilahî iradeye dayanmalıdır.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Korkutucu olaylar karşısında bile mü’minin sahipsizlik hissine kapılmamasını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Allah’ın kontrolü altında olduğu ve gelişigüzel işlemediği ifade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ömürden dolayı telaşa düşen birine ne denilmektedir?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Ömrün kısalığı karşısında “merak etme” denilmesinin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sığmayan arzuların varlığı insana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sığmayan amaçların başka yere ait olması, insanın beklentilerini nasıl düzenler?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yükünü bütünüyle kendi zihnine ve omzuna almak niçin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sahibinin Hakîm ve Alîm olması insana hangi zihnî rahatlamayı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Zararlı görünen tabiat olayları ve hastalıklar karşısında hangi temel ilke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Başkalarının acılarını düşünürken insan niçin ruhuna gereksiz yük bindirmemelidir?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mü’mine verilen öğütler daha çok hangi manevi esasa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iradeye sahip olan kul için önerilen temel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hayatının sınırlı oluşu niçin bütünüyle karamsarlık sebebi yapılmamaktadır?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 gücünün zayıf oluşuna karşı neden özellikle Kur’an ve iman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isteğini dünyadan beklememeyi, asıl tamamlanmanın başka âlemde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yaratılışında dünya ötesine uzanan bir yön bulunduğunu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için ebedî bir hayat umudu bulunduğu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hayat ümidi bulunduğu için aşırı kaygılanmaması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Rabbi de merhamet sahibidir; kul her şeyi kendi şefkatiyle üstlenmeye kalkmamalıdır.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da ilahî yönetim altında bulunduğu ve rastgele işlemediği ilkesi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Olan bitenin bilgisizce ve anlamsızca yürümediğini bilerek sükûnet kazanmasını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 sahipsiz değildir; insan misafir olduğu yerde ev sahibi gibi davranmamalıdır.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insana daha geniş bir hakikat ufku kazandıran manevi aydınlatıcılardır.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ötesinde kalıcı hayat bulunduğu haber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İşini Allah’ın kuşatıcı iradesine havale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Tevekkül, teslimiyet ve imanla bakışını düzeltme esasına dayanmaktadır.</w:t>
            </w:r>
          </w:p>
        </w:tc>
      </w:tr>
    </w:tbl>
  </w:body>
</w:document>
</file>