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2c5116abb467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kâinattaki şeylerin mümkün olması bize kimi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Eşyada görülen etkilenmiş olma hâli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yaratılmış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Çokluk ve parçalılık bize hangi büyük gerçeği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delillere göre Allah’ın hangi özellikleri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rızık verilen varlıklar hangi isme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Yaratılmışlık ve rızıklandırılmışlık gibi özellikler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varlık, üstündeki bu kadar özellik ile ne yapmış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şahitliği kabul etmeyen kişi neyi inkâr etmek zorunda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iş varsa, o iş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yapılmış bir şey neyi haber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Yaratan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yapan işe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 kendinden olan Allah’ı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isimlerine şahitlik 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Sanatla yaratan ve rızık veren birini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Rezzak ismine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 zorunlu olması, yapması, yaratması ve bir olması.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ustası olduğunu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yapanı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her şey Allah’ın varlığına ve birliğine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Varlıklardaki bu açık özellikleri inkâr etmek zorunda kalır.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görülen bağlı ve karşılıklı durumlar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mümkün olan varlıklar, zorunlu varlık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Etkilenen şeyler, yapan biri olmadan açıklanabilir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Yaratılmış olanların hepsi birlikte neye şahitlik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ve birleşik yapıda olan varlıklar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alan canlılar hangi hakikati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varlık neden Allah’ın birçok güzel ismine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sonunda hangi kesin kanaate ulaşılır?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karşılıklı bağlı örnekler verilerek hangi düşünce hazırlanıyor?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imkân hâli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pasif durumda olması neyi gerekli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varlıklarda yaratılmışlık görülmesi hangi soruyu cevaplar?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33-soz-p42-25-pencere-umur-u-izafiye-ve-mahlukiyetin-halika-sehadeti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yaratan Allah’a şahitlik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 fail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var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kendi kendine olmadığını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 ve birliği açıkça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Üzerinde birçok özellik taşıdığı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veren bir Rab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Yaratıcı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“Bunları kim yaptı?” sorusunu cevaplar.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etkileyen bir işi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kendine var olamayacağını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bir sebebe değil, gerçek bir yaratıcıya dayandığı düşüncesi hazırlanıyor.</w:t>
            </w:r>
          </w:p>
        </w:tc>
      </w:tr>
    </w:tbl>
  </w:body>
</w:document>
</file>