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1ec9b260f48f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kâinattaki genel kulluğun hangi temel hakikate delil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 sadece görünen âlemle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Ruhânî ve meleklerin hâli, insanın görmediği alanlar hakkında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âriflerin bilgisine hangi özellik yükleniyor ve bu bilgi neye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topluluklar hâlinde sayılan mânevî zümrelerin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edenlerin delilli konuşması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gören ibadetlerin ardından gelen mânevî feyizler ve içten yakarışlar neyin göstergesi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Kâmil insanlardan söz edilmesi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Münâcât ve keşiflerin aynı bağlamda geçmesi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“genel ibadet” denildiğinde hangi kapsam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 ve ruhânîlerin ibadetinin “tam uyum” içinde olması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düzenli görevleri neden ibadet sayılabilecek bir içerik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marifeti sağlam ve hakikate uygun kabul ediliyor; bu da ezelî Mabudun varlığına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 sahasına dair dolaylı bir şahitlik sunarak delilin kapsamını görünmeyen âleme de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gayb ile ilgili ruhânî varlıklar hem de gözlenen canlı ve cansız düzen bu delile dâhil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 âlemindeki kulluk hâli, mutlak şekilde ibadete layık olan tek bir İlâhın varlığına ve birliğine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ibadet hayatı daha olgun olduğundan, ortaya çıkan mânevî sonuçlar delil değerini daha kuvvetli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ibadetin muhatabının gerçek olduğunu ve kul ile Rabbi arasında sahih bir bağ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 duygusal bir kabulle sınırlı kalmadığını, sağlam dayanaklarla savunulduğunu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farklı yollarla Allah’ı tanıyan, anan, seven, isteyen ve O’na yönelen kullardan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yaratılış gayelerine uygun şekilde sürekli ve intizamlı hizmet etmeleri, fiilî kulluk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keyfî değil, ilâhî emre bağlı ve düzenli bir kulluk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insanların ibadeti değil; ruhânîlerin, canlıların ve cansızların da kendilerine mahsus görev ve itaatleri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kulun Allah’a hitabını hem de bu yönelişin neticesinde bazı mânevî açılımların doğduğunu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Âriflerin mârifeti neden güçlü bir delil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Şükür, zikir ve hamd neden peş peşe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Muhib, mürid ve münîb kavramları insanın hangi üç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Kâmil insanlarda görülen kabul edilmiş ibadetlerin özel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makbul ibadetlerin doğurduğu mânevî neticeler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vahdaniyet sadece akılla mı bilinir, yoksa başka yollar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Pencere’de öne çıkarılan ana delil alanı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ibadetin varlığı neden doğrudan bir ilâhî varlığa işaret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unsurların itaatkâr hizmeti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Cansızların hizmetinden Allah’ın hangi iki sıfatı özellikle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Ârifler, şâkirler, zâkirler ve hâmidler neden ayrı gruplar olarak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Muhabbet, irade, rağbet, talep ve yöneliş gibi hâller niçin aynı yerde zikredilmiş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ibadeti, neticelerinde ortaya çıkan mânevî verimlerle birlikte, Allah’a yakınlığın gerçekliğini daha açık biçimde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 yönünü, iradeli tercih yönünü ve samimi dönüş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nimeti fark etme, Rabbi anma ve O’nu övme şeklinde birbirini tamamlayan kulluk hâlleridir.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tek şahıs görüşü olmaktan öte, ortaklaşa doğrulanan bir bilgi gücü taşıdığı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yaygın ve düzenli kulluk, karşılıksız ve muhatapsız düşünülemeyecek bir yöneliş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yaygın biçimde görülen ibadet, itaat ve Allah’a yöneliş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akılla değil; ibadet, mânevî tecrübe, ortak şahitlik ve kâinattaki düzenli hizmetler yoluyla da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yapılan yönelişin gerçek karşılığı bulunduğunu ve kulluğun boşlukta kalmadığını ispat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hepsi insanın kalben ve irade ile Allah’a yönelmesinin farklı tezahürleri olduğu için birlikte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Allah’a yönelişin farklı bir kulluk ve idrak biçimini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gerçekten var olduğu ve bir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görünen varlıkların da belirli bir düzen içinde vazife yapması, hepsinin tek bir Rabbin emri altında bulunduğunu düşündürür.</w:t>
            </w:r>
          </w:p>
        </w:tc>
      </w:tr>
    </w:tbl>
  </w:body>
</w:document>
</file>