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569d1ff13a4683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ihtarda, Otuzüçüncü Mektub’un imanı hiç olmayan kimse üzerindeki tesiri nasıl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İnancı mevcut ama zayıf olan bir öğrencinin bu metinden alacağı temel katkı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Taklidî iman ile tahkikî iman arasında nasıl bir fark ima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sıralamanın sonunda hangi yüksek hedef gösteriliyor?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33-soz-p59-ihtar-ozur-selam-ve-dua-ile-hatime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33-soz-p59-ihtar-ozur-selam-ve-dua-ile-hatime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33-soz-p59-ihtar-ozur-selam-ve-dua-ile-hatime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33-soz-p59-ihtar-ozur-selam-ve-dua-ile-hatime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İmanı geniş olan kişiye marifetullah yolunda ilerleme verilmesi, gelişimin bitmediğini nasıl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Neden tek bir pencere ile yetinmek doğru bulunmuyor?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Mi’rac Risalesi ile bu risale arasında muhatap bakımından nasıl bir fark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“Bunu düşünüp öylece bakmalı” uyarısı okuyucudan nasıl bir dikkat bekler?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33-soz-p59-ihtar-ozur-selam-ve-dua-ile-hatime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33-soz-p59-ihtar-ozur-selam-ve-dua-ile-hatime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33-soz-p59-ihtar-ozur-selam-ve-dua-ile-hatime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33-soz-p59-ihtar-ozur-selam-ve-dua-ile-hatime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Müellif, mektubun kusurlu olabileceğini söylerken bunu hangi iki yazım şartına bağlıyor?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İhtarda anlatılan mektubun en temel gayelerinden biri, inanç bakımından en alt seviyede bulunan kimseler için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İman etmeyen kişiden başlayarak hangi genel yükseliş çizgisi tasvir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Sonraki aşamalarda hangi daha ileri iki inanç düzeyine temas ediliyor?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33-soz-p59-ihtar-ozur-selam-ve-dua-ile-hatime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33-soz-p59-ihtar-ozur-selam-ve-dua-ile-hatime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33-soz-p59-ihtar-ozur-selam-ve-dua-ile-hatime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33-soz-p59-ihtar-ozur-selam-ve-dua-ile-hatime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Marifetullah sahasında ilerleme ve daha aydınlık hakikatlerin açılması hedef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Birinin daha çok başkasını izlemeye dayandığı, diğerinin ise bilinçli ve delilli kavrayış içerdiği ima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İnancının güç kazanmasıdır.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Allah’ın izniyle onu imana yönelten bir vesile olduğu bildiriliyor.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Metni, hitap ettiği kesimi ve maksadını gözeterek değerlendirmesini bekler.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Mi’rac Risalesi’nde asıl muhatap mümindir; burada ise öncelikli hitap inkâr edene yöneliktir.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insanın iç dünyasında farklı merkezler bulunur ve her biri hakikatten ayrı bir nasip ister.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İmanın yüksek derecelerinde bile daha ileri manevi açılımlar bulunduğunu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Taklidî ama kuvvetli iman ile tahkikî iman düzeylerine temas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İmana girişten başlayıp kuvvetlenmeye, tahkike, genişlemeye ve marifetullahta ilerlemeye uzanan bir çizgi tasvir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İnancı bulunmayanları imana ulaştırmaya vesile olmaktır.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Hızlı yazılmasına ve taslak halinde kalmasına bağlıyor.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Taklidî imanın tahkikî imana çevrilmesi, öğrenci açısından nasıl bir kazanım ifade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Daha parlak manevi manzaraların açılması neyin meyvesi olarak sunuluyor?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Burada insanın hangi yönlerinin pay istediği özellikle zikrediliyor?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risalede öncelikli muhatabın münkir olması neyi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33-soz-p59-ihtar-ozur-selam-ve-dua-ile-hatime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33-soz-p59-ihtar-ozur-selam-ve-dua-ile-hatime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33-soz-p59-ihtar-ozur-selam-ve-dua-ile-hatime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33-soz-p59-ihtar-ozur-selam-ve-dua-ile-hatime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Müellif, anlatım kusurlarını kabul ederken kendi payına düşen sorumluluğu nasıl üstleniyor?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sebeple okuyuculardan hangi iki tavır özellikle isteniyor?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ihtarda, mektubun iman yolculuğunda tek bir seviyeye mi yoksa farklı seviyelere mi hitap ettiği anlaşılıyor?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En başta hangi iki inanç durumu ele alınıyor?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33-soz-p59-ihtar-ozur-selam-ve-dua-ile-hatime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33-soz-p59-ihtar-ozur-selam-ve-dua-ile-hatime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33-soz-p59-ihtar-ozur-selam-ve-dua-ile-hatime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33-soz-p59-ihtar-ozur-selam-ve-dua-ile-hatime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Zayıf iman sahibi için beklenen sonuç nasıl özetlenir?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Marifetullaha yükselişin, kemalatla ilişkisi nasıl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neden “Bir pencere bana yeter” denilemez?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Müellif, metnin yazılış tarzındaki eksikleri hangi sebebe bağlıyor?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33-soz-p59-ihtar-ozur-selam-ve-dua-ile-hatime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33-soz-p59-ihtar-ozur-selam-ve-dua-ile-hatime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33-soz-p59-ihtar-ozur-selam-ve-dua-ile-hatime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33-soz-p59-ihtar-ozur-selam-ve-dua-ile-hatime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Delillendirme ve inkârı cevaplandırma yönünün öne çıktığını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Akıl, kalp, ruh ve hayal ayrı ayrı anılıyor.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Marifetullahta ilerlemenin meyvesi olarak sunuluyor.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İnancını sadece devralmakla kalmayıp anlayarak ve delillendirerek taşıma kazanımı ifade eder.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Hiç imanı olmayanlar ve imanı zayıf olanlar ele alınıyor.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Farklı seviyelere hitap ettiği anlaşılıyor.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Hoşgörü ile bakmaları ve güçleri yeterse düzeltmeye çalışmaları isteniyor.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Kusurların kendisine ait olduğunu açıkça söyleyerek üstleniyor.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Çok hızlı yazılmasına ve taslak halinde kalmasına bağlıyor.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insanın sadece aklı değil, kalbi, ruhu ve hatta hayal gücü de bu nurlardan pay almak ister; her pencere ayrı bir fayda sağlar.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Gerçek olgunlukların temelinin Allah’ı tanımak olduğu belirtilerek kuruluyor.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İnancının dayanıklı hale gelmesidir.</w:t>
            </w:r>
          </w:p>
        </w:tc>
      </w:tr>
    </w:tbl>
  </w:body>
</w:document>
</file>