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f151ce5a3464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Nokta’da Kur’an’ın tekrar tekrar okunmasıyla ilgili hangi temel özellik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herkes neden Kur’an’ın tekrarından usanmaz durumda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uzun asırlar geçmesine rağmen tazeliğini koruması neye delil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asrın Kur’an’ı kendine hitap ediyor gibi görmesi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ayetul-kubra-p55-kuranin-icaz-ve-sehadeti-17-mertebe-4-5-6-halavet-ve-tazelik-mazi-mustakbel-sehadeti-alti-cihetin-nuraniyeti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İlim ehlinin Kur’an’dan sürekli faydalanmasına rağmen onun anlatım tarzındaki farklılığın bozulmaması nasıl açıklanabilir?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Nokta’da Kur’an’ın geçmişle bağı hangi yolla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 peygamberlerin hakikatleriyle uyum içinde olması Kur’an hakkında nasıl bir sonuç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Kur’an’ın geleceğe uzanan tarafı hangi topluluklar üzerinden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ayetul-kubra-p55-kuranin-icaz-ve-sehadeti-17-mertebe-4-5-6-halavet-ve-tazelik-mazi-mustakbel-sehadeti-alti-cihetin-nuraniyeti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Evliya ve asfiyanın ortaya koyduğu manevi meyveler neyin delili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hak tarikatların ve sahih İslami ilimlerin Kur’an’a dayanması, onun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Nokta’da “çok tekrar” ile ilgili hangi alışılmış düşüncenin tersine bir durumdan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durumun sadece kişisel bir görüş olmadığı nasıl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ayetul-kubra-p55-kuranin-icaz-ve-sehadeti-17-mertebe-4-5-6-halavet-ve-tazelik-mazi-mustakbel-sehadeti-alti-cihetin-nuraniyeti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zamana bağlı kalmayıp her dönemde insanlara seslenebilen diri bir yönü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eskimeyen, her döneme canlı biçimde hitap eden bir kitap olduğuna işaret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bunun için kalbin katılaşmamış, zevkin de bozulmamış olması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Tekrar edilmesinin insanı bıktırmadığı, aksine temiz kalpli kimselerde manevi tadı artırdığı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dostları ve arınmış alimler gibi, Kur’an’dan beslenerek olgunlaşan kimseler üzerinden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önceki ilahi çizgiyle çatışmadığını, aynı hak yolun devamı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Önceki peygamberlerin ortak hakikatleriyle bağlantılı olduğu ve onları doğruladığı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Çokça elde bulunup incelenmesine rağmen üslubunun kendine has oluşunu koruduğu ifade 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Eski zamandan beri genel kabul gördüğü ve atasözü gibi yaygın bir kanaat haline geldiği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Normalde çok tekrarlanan şeyler sıkıcı olur; fakat Kur’an için bunun tersinin gerçekleştiği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Gerçeğin merkezi, hakikatlerin toplandığı yer ve eşsiz bir kaynak oluşunu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hayat veren, bereketli ve hakikate kaynaklık eden bir esas taşıdığının delili sayılıyor.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“yeni inmiş gibi” kalması, onun hangi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Herkesin eline kolayca geçmesine rağmen Kur’an’daki farklı anlatımın korunması neden dikkat çekici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İlim sahiplerinin Kur’an’ı yanlarında çokça bulundurması hangi ihtiyacı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Nokta’da Kur’an’ın bir tarafının geçmişte, diğer tarafının gelecekte olması mecazen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ayetul-kubra-p55-kuranin-icaz-ve-sehadeti-17-mertebe-4-5-6-halavet-ve-tazelik-mazi-mustakbel-sehadeti-alti-cihetin-nuraniyeti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Önceki peygamberlerle Kur’an arasındaki ilişki tek yönlü mü gösteriliyor, karşılıklı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Kur’an’dan hayat alan manevi büyüklerin yetişmesi nasıl bir benzetmeyle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Nokta’nın sonunda Kur’an için varılan genel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Kur’an’ın “misilsiz” sayılması hangi gerekçelere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ayetul-kubra-p55-kuranin-icaz-ve-sehadeti-17-mertebe-4-5-6-halavet-ve-tazelik-mazi-mustakbel-sehadeti-alti-cihetin-nuraniyeti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Nokta’ya göre Kur’an’ın tadı hangi durumda artar?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“kalbin çürümemesi” ifadesi hangi manevi duruma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gençlik ve canlılık göstermesi, onun hangi yönden sıradan metinlerden ayrıldığını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asrın kendine hitap edildiğini hissetmesi, Kur’an’ın mesajı hakkında nasıl bir çıkarım yapmamızı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ayetul-kubra-p55-kuranin-icaz-ve-sehadeti-17-mertebe-4-5-6-halavet-ve-tazelik-mazi-mustakbel-sehadeti-alti-cihetin-nuraniyeti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önceki vahiylerle bağlantılı olduğunu hem de sonraki manevi hayatı beslediğini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zaman ondan yararlanma ve kendi alanlarında ona başvurma ihtiyacını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çok yaygın olan metinler genelde alışılır ve sıradanlaşır; burada ise bu olmuyor.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Sürekli canlı ve taze kalabilen ilahi bir hitap oluşunu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 vahiylerle uyumlu olması, sonraki manevi ve ilmi hayatı beslemesi ve hakikatleri bir arada toplaması buna dayandırılır.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Hakikatin kendisi olduğu, birçok gerçeği bir arada topladığı ve bu yönüyle benzersiz bulunduğu hükmüne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Bereketli bir ağacın canlı meyveleri gibi düşünülerek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Karşılıklı gösteriliyor; Kur’an onları doğruluyor, onlar da onunla uyum içinde görünüyor.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Mesajının belli bir döneme değil, farklı çağlardaki insanlara uygun genişlikte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Zamanla eskimeyip daima etkisini koruması yönünden sıradan metinlerden ayrıldığını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iç dünyasının katılaşmamış, iman ve hassasiyetini kaybetmemiş olmasına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Samimi ve manevi duyarlılığı bozulmamış kişiler tekrar ettikçe daha fazla lezzet alır.</w:t>
            </w:r>
          </w:p>
        </w:tc>
      </w:tr>
    </w:tbl>
  </w:body>
</w:document>
</file>