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a626f215144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“faaliyet” içinde görünen “rububiyet” hangi temel vasıflarla kendini belli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ve icat etme ile düzenleme ve ölçülendirme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Takdir, tasvir, tedbir ve tedvir kavramları daha çok hangi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Tasvir ve tedbir kavramları arasında nasıl bir anlam bağı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“Şefkat ve rahmet” ile yapılan işler neden ulvî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Tenzil ve tekmil ifadeleri birlikte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ortaya çıkışı hangi iki ana delil grubu ile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isimler ile sıfatlar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 sübutî sıfatın tecellileri neden hem “celalli” hem “cemalli”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ilahî idareyi gösteren işlerde neden “ilim” ve “hikmet”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Halk, icad, sun’ ve ibda’ ifadeleri birlikte düşünüldüğünde hangi ortak düşünce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Nizam ve mizan ifadeleri kâinatta hangi özelliğin hâkim olduğunu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şekil ve özellik verme yönünü, diğeri ise o verilen yapının yönetilip korunması yönünü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ölçülü, planlı, yönetilen ve dönüşüm içinde idare edilen yapısını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var etmenin, ardından da onu planlı ve dengeli biçimde şekillendirmenin bulunduğu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Bilgi ve hikmetle meydana getirme, düzen ve ölçüyle ayarlama, irade ve kasıtla değiştirme ve tamamlama, merhamet ve rahmetle rızık verme ve ihsanda bulunma gibi tasarruflarla kendini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tecellileri ve sıfatların yansımaları birlikte Allah’ı tanıtıp bildiren deliller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isimlerin merhamet ve kerem taşıyan tecellileriyle ve yedi sabit sıfatın heybetli ve hoş tecellileriyle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yerli yerince gönderildiğini ve eksikten kemale doğru tamamlandığını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düzen kurmakla kalmayıp ihtiyaç sahiplerine lütuf ve yardım ulaştırmayı da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Denge, ölçü ve uyumun hâkim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sanatlı, bilinçli ve kudretli bir şekilde meydana getirildiği düşüncesi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yapılan işlerin hem bilinçli hem de yerli yerinde, amaçlı ve faydalı olduğu anlatılmak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tecellilerde hem kudret ve azamet hem de güzellik ve lütuf birlikte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“İrade”nin eklenmesi, meydana gelen değişimlerin nasıl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Tahvil ve tebdil gibi değişim bildiren işler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içinde açıkça hissedilen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Sıfatların “celalli ve cemalli” tecellileri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Sem’, basar ve kelâm sıfatları kul açısından hangi şuuru geliştirebilir?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 sıfatın tecellileri için hangi iki yön birlikte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rububiyet hakikatinin görüldüğü alan sadece canlılar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ve hikmetle yapılan işler neden rububiyetin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“Kasıt” kelimesinin burada kullanılmasından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Nizam ve mizan ile yapılan işler,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rububiyet, kendini insana nasıl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belirginleşmesinde esma-i hüsna nasıl bir rol oynamaktadır?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azamet ve kudretini hem de lütuf ve güzelliğini birlikte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Uluhiyetin belirgin şekilde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değişimin de başıboş değil, ilahî idare altında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veya kör bir akışla değil, seçime dayalı bir şekilde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bunlar, varlıkların bilinçli bir bilgi ve amaçla idare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genel olarak faaliyet içindeki bütün düzenli ve hikmetli tasarruflar bu hakikati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heybet ve azamet bildiren tarafı hem de güzellik ve lütuf bildiren tarafı birlikte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işittiğini, gördüğünü ve bildirdiğini düşünerek sorumluluk ve bilinçle yaşamayı geliştirebilir.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isimler, merhametli ve cömert tecellileriyle ilahî varlığı ve yakın ilgiyi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işler, hikmetli icraatlar ve rahmet dolu tasarruflar üzerinden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sağlam bir denge ve plan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amaçlı ve hedefli olduğu sonucu çıkarılır.</w:t>
            </w:r>
          </w:p>
        </w:tc>
      </w:tr>
    </w:tbl>
  </w:body>
</w:document>
</file>