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865fb7aa846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 olarak hangi esas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rububiyet sadece belli bir alanda mı görünür, yoksa yaygın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işleyiş nasıl bir tarzda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genel idare neden kesin bir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sergileme en çok neden küçük varlıklar ve canlılar üzerinde yoğunlaşır?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en küçük canlıya yapılan müdahaleyi neden çok önemli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bir şeye bağımsız ortak karışsa ne bozulur?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sürekli tevhidi hatırlatması hangi büyük sırla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her yönüyle tevhidi öne çıkarması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 çapındaki yönetim nasıl bir nitelik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canlılar üzerinde daha açık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idarenin beklenmedik biçimde gelmesi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yerde aynı tarzda, düzenli ve kuşatıcı bir yönetim görülmesi, tek bir Rabbin hâkimiyetini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yerde benzer, iç içe geçmiş, hikmetli ve şefkatli bir tarzda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yaygın ve kuşatıcıdır; bütün kâinatta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ve her şeyi kuşatan İlâhî terbiyecilik ve idare hakikati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mahiyetinin ortaklığa asla izin vermemesi sırrıyla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İlâhî gayeler ve hikmetli hedefler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rububiyetin ince hedefleri ve sanatlı icraatları orada yoğun şekilde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ince sanat, özel bakım ve dikkat çekici hikmet oralarda daha belirgin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Perde arkasında kudretli ve her şeyi bilen bir Rabbin tasarrufunu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gelişimi ve rızıkları doğrudan düzenli bir bakım altında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tarafı kuşatan, düzenli ve genel bir idare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rububiyet sırrını bildirme ve şirki uzaklaştırma gayretinin sonucudur.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varlığı hangi mantıkla birliğe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mutlak olması, neden küçük şeylerde de ortaklığa izin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Kıymetli sanatların sergilenmesi neden ortaklığı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Sebeplere takılı kalmak şuurlu varlık için hangi manevî kayba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rububiyet ile şirk arasında nasıl bir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sürekli birliğe çağırması metinde hangi sebeple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hakikatin merkezinde hangi kavram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düşünceyi desteklemek için özellikle hangi varlık grubuna dikkat çekilir?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kapsamlı tasarrufun kaynağı nasıl tanıtılır?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rububiyetin ortak kabul etmemesinin ilk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hedeflerinden biri olarak hangi estetik boyut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maksatların daha çok hangi alanda toplandığı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İradeyi ve yönelişi gerçek Rabden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eserin bütünlüğü, tek sanatkârın irade ve maksadını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ince maksatlar ve sanatlar küçük şeylerde toplanmıştır; oraya karışan ortak bütün dengeyi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bir yönetim varsa, onun dağılmadan tek elde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Canlılara, özellikle de onların yetişme ve beslenme hâllerine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Rablik, terbiye ve idare etme manasını taşıyan rububiyet kavramı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rububiyetin ortak kabul etmeyen yapısıyla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araya gelmeleri mümkün olmayan iki zıt durum olarak hüküm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varlıklarda ve canlılarda yoğunlaştığı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 ve sanat değerinin görünür olması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güzelliğini, kemalini ve sanatını göstermek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bir kudretin umumi müdahalesi olarak tanıtılır.</w:t>
            </w:r>
          </w:p>
        </w:tc>
      </w:tr>
    </w:tbl>
  </w:body>
</w:document>
</file>