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1176545be4be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rızık kaç kısma ayrılmaktadır?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kısımdaki rızığın temel niteliği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 depolanan bu tabiî rızık hakkında hangi delil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Erken görünen açlık ölümleri parçada hangi sebebe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tür rızık neden “mecazî” ve “sun’î”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tür rızığın ilahî düzen içindeki yeri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ikinci alanda mutlu kişi hangi tavrı benimseyendir?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Helâl kazancı bir çeşit ibadet saymanın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saadet ile şekavetin ayrım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“hakikî ve fıtrî rızık” ifadesiyle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rızığın güvence altında olduğu nasıl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bedenindeki birikmiş gıdanın zikredilmesinin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sebep yiyeceğin tamamen yokluğu değil; yanlış alışkanlıkların ve düzen bozukluğunun yol açtığı rahatsızlıklardır.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bedeninde bir süre yetecek şekilde saklanan gıda bulunduğu, bu sayede uzun müddet yiyeceksiz de hayatın sürebildiği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devamı için gerçekten gerekli olması ve ilahî teminat altında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kısma ayrılmaktadır: biri hakikî ve yaratılışa uygun olan rızık, diğeri ise alışkanlık ve yanlış kullanım ile ihtiyaç gibi görünen yapay rızıktır.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Geçim için meşru şekilde gayret etmeyi sadece dünyevî uğraş değil, manevî değeri olan bir sorumluluk olarak görmektir.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Ölçülü yaşayan, elindekiyle yetinen, helâl çalışmayı kulluk şuuru içinde gören ve kendisine verilenlere şükürle yaklaşandır.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türün zorunlu biçimde garanti edilmediği, daha çok bir ihsan olarak bazen verilip bazen verilmeyebileceği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o, gerçek zaruretten değil; alışkanlık, savurganlık ve kötü kullanım sebebiyle ihtiyaçmış gibi görünen şeylerden oluşur.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Yaşamak için gerekli nimetin önceden de hazırlanıp korunduğunu göstererek ilahî düzeni fark 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Rabbânî bir taahhüde bağlı olduğu söylenerek bunun düzenli şekilde sağlandığı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yaşaması için gerçekten gerekli olan ve yaratılışına uygun bulunan temel geçim nimetleri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Saadet; iktisat, kanaat, helâl emek ve şükürledir. Şekavet ise israf, hırs, tembellik ve sürekli yakınma ile ortaya çıkar.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bir kimsenin kısa sürede açlıktan öldüğü sanıldığında nasıl bir değerlendirme yapılmalıdır?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rızık türünü ortaya çıkaran üç sebep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ikinci tür neden gerçek ihtiyaç seviyesine yükselmiş gibi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tür rızıkta “bahtiyar” olan kişi nasıl tarif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kapıya başvurmak” ifadesi bedbaht kişi hakkında ne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Bedbaht kişi neden “tenbelkârane” olarak nitelenmektedir?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birinci rızık türüyle ikinci rızık türü arasındaki en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türün “fıtrî” olarak nitelenmesi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bedenin içindeki birikimden söz edilmesi hangi sonuca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Açlıktan öldüğü zannedilen bir kişi hakkında hangi dolaylı çıkarım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tür rızkın “ihsana bağlı” olması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çalışmanın değeri tamamen reddediliyor mu, yoksa sınırlandırılıyor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ayetul-kubra-p109-3-menzil-4-hakikat-rahimiyet-ve-rezzakiyet-rizkin-iki-kismi-fitri-taahhud-altinda-ve-suni-itiyad-iktisad-kanaat-vs-israf-hirs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Ölçülü davranan, kanaat eden, helâl çalışmasını dua ve ibadet şuuru ile yapan, nimeti de şükürle karşılayandır.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ona bağımlı hâle geldiği için artık onsuz yapamaz zanneder ve onu zaruret gibi algılar.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Alışkanlık, savurganlık ve nimetleri yanlış kullanmadır.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hemen rızkın kesilmesi diye yorumlanmaması, çoğu zaman yanlış yaşam alışkanlıklarının doğurduğu bir hastalık olarak anlaşılması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yaratılışına uygun, tabii ve zarurî olan ihtiyaçları ifade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gerçek hayat ihtiyacıdır ve güvence altındadır; ikincisi sonradan oluşmuş yapay ihtiyaçtır ve aynı şekilde teminatlı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helâl emek yolunu bırakıp kolay yoldan elde etmeye yönelmekte ve sorumluluk yüklenmek istememektedir.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izzetli ve helâl bir yol yerine menfaat için her yola sapabilecek derecede düşkünleştiğini anlatmaktadır.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Reddedilmiyor; helâl çalışma övülüyor, fakat bunun israf ve hırsla kirletilmemesi gerektiği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zorunlu olarak her zaman verilecek bir hak değil, verilmesi lütuf olan bir nimet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sebep açlık olsa da, altta yanlış alışkanlıkların yol açtığı sağlık bozulması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devamı için gereken rızkın insan bünyesinde bile belirli bir düzenle hazır edildiği sonucuna götürmektedir.</w:t>
            </w:r>
          </w:p>
        </w:tc>
      </w:tr>
    </w:tbl>
  </w:body>
</w:document>
</file>