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2f48c589e04b8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İhtar kısmında, önceki bölümde geçen hakikatlerin iki temel meseleye birlikte delil olduğu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Bâb’ın delilleri niçin daha çok vücub-u vücuda dair deliller olarak isimlendiriliyor?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Bâb’a neden tevhid delilleri deniliyor?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iki bâb arasında kesin bir ayrılık mı vardır, yoksa aralarında ortak yön de bulunur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ayetul-kubra-p74-ihtar-1-bab-vucub-delilleri-ile-2-bab-vahdet-burhanlari-farki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ve İkinci Bâb’da tekrarlanan iki ifade arasındaki küçük fark neyi hissettirmek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Müellif, gelecek kısmın mertebelerini önceki bölüm gibi ayrıntılı anlatmak istemesine rağmen neden bunu yapamadığını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kısa geçişten sonra ayrıntılı açıklama görevi nereye bırakılıyor?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İhtarın sonunda yapılan yönlendirme, ilim yolcusuna hangi edebi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ayetul-kubra-p74-ihtar-1-bab-vucub-delilleri-ile-2-bab-vahdet-burhanlari-farki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İhtar bölümünde önceki ondokuz mertebenin hakikatleri hangi yönleriyle Allah’a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“vahdet” ve “ehadiyet” birlikte anıldığında neye dikkat çekilmiş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Bâb ile İkinci Bâb arasındaki adlandırma farkı, içerik farkından çok neye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göre, Birinci Bâb sadece varlığı; İkinci Bâb da sadece birliği mi ispat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ayetul-kubra-p74-ihtar-1-bab-vucub-delilleri-ile-2-bab-vahdet-burhanlari-farki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Kesin bir kopukluk yoktur; ikisi de hem varlığı hem birliği ispat eder, sadece ağırlık merkezleri farklıdır.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kısımda esas vurgu Allah’ın birliğine yapılıyor; varlık meselesi de bunun içinde yer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bölümde öncelikle ve açık biçimde Allah’ın varlığının zorunluluğu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Her bir hakikatin hem zorunlu varlığa hem de Allah’ın birliğine işaret ettiği, ancak bir tarafta varlığın, diğer tarafta ise birliğin daha açık öne çıktığı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sınırını bilip, geniş izah gereken yerde ehil metinlere müracaat etme edebini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geniş izahın Risale-i Nur’un ilgili kısımlarına havale edildiği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Bazı engeller ve şartlar sebebiyle uzun açıklama yapamadığını, bu yüzden kısa ve öz anlatmak zorunda kaldığını ifade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Birinde kuşatıcı hakikatin şehadeti öne çıkarılırken, diğerinde birliğin adeta gözle görülür gibi belirginleşmesi hissettiriliyor.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her iki bölüm de iki hakikati beraber destekler, fakat biri varlığı, diğeri birliği daha belirgin şekilde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Hangisinin hangi hakikati daha açık ve başta gösterdiğine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hem tek ilah oluşuna hem de her şey üzerinde doğrudan ve ayrı ayrı tasarrufuna işaret edilmiş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Gerçekten mevcut olmaları Allah’ın varlığının zorunluluğunu; kuşatıcı olmaları ise birliğini ve tekliğini gösteriyor.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ifade farkı, ikinci bölümde hangi hakikatin daha görünür hale geldiğini anlatmak için konulmuştur?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Müellifin “ihtisara ve icmale mecburum” demesi anlatım tarzı bakımından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ihtarda okuyucu hangi yanlış anlamadan korunmak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İhtar metninde, önceki mertebelerin “tahakkukları” ve “vücutları” ile delil olması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ayetul-kubra-p74-ihtar-1-bab-vucub-delilleri-ile-2-bab-vahdet-burhanlari-farki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hakikatlerin “ihataları” ile delil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Bâb’ın delilleri için seçilen isimlendirme, metne göre hangi önceliğe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Bâb’da ise hangi yön daha belirgin kabul 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iki farklı ibare arasında yapılan ayrım, lafzî bir tekrar mı, yoksa anlamlı bir işaret mi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ayetul-kubra-p74-ihtar-1-bab-vucub-delilleri-ile-2-bab-vahdet-burhanlari-farki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İhtarın son cümlesinde “havale etmek” ifadesi ilmi yazım açısından neyi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pasajdan hareketle, bir delilin hem varlığa hem birliğe işaret etmesi neden mümkündür?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İhtar kısmında geçen açıklamaya göre önceki hakikatlerin delil oluşunda iki ayrı bakış açısı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“Başta sarihan” denilmesi, delilin yapısında neyin öne çıktığını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ayetul-kubra-p74-ihtar-1-bab-vucub-delilleri-ile-2-bab-vahdet-burhanlari-farki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hakikatlerin gerçekten var ve sabit oluşlarının, Allah’ın zorunlu varlığına işaret etmesi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bâbın birbirinden tamamen ayrı konular işlediği zannından korunmak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Geniş açıklama yerine özlü ve toparlayıcı bir anlatımı tercih etmek zorunda kaldığını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birliğinin daha açık seçik fark edilir hale geldiğini anlatmak için kullanılmıştır.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Anlamlı bir işaret taşır; iki bölümün vurgu farkını sezdirir.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birliğini açık ve doğrudan göstermesi daha belirgin kabul 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varlığını açık biçimde ispat etme önceliğine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Kuşatıcılıkları ve kapsamlı oluşları sebebiyle tek bir ilahın hükmünü göstermelerini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bakışta ve açık şekilde hangi sonucun önde görüldüğünü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onların mevcut ve sabit olması üzerinden Allah’ın zorunlu varlığına bakmak, diğeri ise kuşatıcı oluşları üzerinden birliğe bakmaktır.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aynı hakikat, bir yönüyle ilahî mevcudiyeti, başka yönüyle de bu mevcudiyetin tekliğini gösterebilir.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detaylı temellendirmenin başka yerlerde bulunduğunu ve okuyucunun oraya yönlendirilmesi gerektiğini bildirir.</w:t>
            </w:r>
          </w:p>
        </w:tc>
      </w:tr>
    </w:tbl>
  </w:body>
</w:document>
</file>