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a67c25ae59419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İkindi vaktinin hangi üç durumu hatırlattığı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hayatından hangi dönem ikindi vaktiyle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Sağlık, güven ve güzel hizmetlerin birlikte anılması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Güneşin batmaya yönelmesi, insanın konumunu hangi ifadeyle açıklar?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kucuk-sozler-p45-9-soz-5-nukte-asr-namazinin-hikmeti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ruhunun ebediyeti istemesi, ikindi namazıyla nasıl bağlantı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İkindi namazı hangi İlâhî kapıya yöneliş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namazda nimetler karşısında kuldan beklenen tavır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Kulun Allah’ın rahmetine sığınması, hangi ihtiyacını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kucuk-sozler-p45-9-soz-5-nukte-asr-namazinin-hikmeti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İkindi namazı niçin gerçek bir teselli olarak niteleniyor?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“Huzurda kemerbeste kulluk” ifadesi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İkindi vaktinin sonbahara benzetilmesinin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vakitte günlük işlerin hangi aşamaya geldiği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kucuk-sozler-p45-9-soz-5-nukte-asr-namazinin-hikmeti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görevli bir yolcu yahut geçici misafir gibi olduğunu açıklar.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 boyunca alınan ilahî lütufların çokluğunu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İhtiyarlık dönemiyle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Hüzünlü sonbaharı, insanın yaşlılık dönemini ve ahir zamanın sıkıntılı havasını hatırlatır.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başına yetemediğini ve ilahî yardıma muhtaç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Şükretmek ve hamd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Ezelî ve ebedî olan Allah’ın samedânî dergâhına yöneliş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Ruh, geçici şeylerden sıkılınca kalıcı olan Rabbine yönelerek huzur bulur.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Sonuç verme ve kapanış aşamasına geldiği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vaktin sona yaklaşmayı, eksilmeyi ve hüzünlü bir dönüşümü çağrıştırmasıdır.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Kulun saygı, bağlılık ve itaat içinde Rabbinin huzurunda durması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geçicilik ve ayrılık düşüncesiyle sıkılan kalbi, ebedî olan Allah’a yönelterek rahatlatır.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İlahî nimetlerin bu saatte büyük bir birikim sayılması neyi fark 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Güneşin aşağıya yönelmesi neden önemli bir işaret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şeyin geçici oluşunu fark eden insan ruhu neden ibadete yönelir?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İkindi namazında kul, Allah’ın huzuruna nasıl bir yönelişle çıkmaktadır?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kucuk-sozler-p45-9-soz-5-nukte-asr-namazinin-hikmeti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İkindi namazında yönelinen İlâhî isimlerin ortak anlamı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Secdede “mahviyet” hâlinin vurgulanması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Secde neden sadece bir hareket değil, derin bir teslimiyet göstergesi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İkindi namazı insana hangi iki iç sonuç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kucuk-sozler-p45-9-soz-5-nukte-asr-namazinin-hikmeti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İkindi vakti hangi yönüyle hüzün duygusu uyandıran dönemlere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Metin, bu vakti günlük çalışmaların hangi yönüyle ilişkilendiriyor?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 o gün içinde hangi alanlarda Allah’ın nimetlerine mazhar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“memur misafir” gibi görülmesi hangi sorumluluğu sezdirir?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kucuk-sozler-p45-9-soz-5-nukte-asr-namazinin-hikmeti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Dua ve yakarışla yönelip O’nun sonsuz rahmetine sığınarak çıkmaktadır.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kalıcı olanı arar ve ayrılık acısını ancak Allah’a yönelerek hafifletir.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varlıkların kalıcı olmadığını gözle görünür biçimde hatırlatıyor.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 içinde çokça ihsan görüldüğünü fark ettirir.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Gönülde teselli ve ruhta dinlenme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kulun bütün varlığıyla Allah’ın ebedî yüceliğini kabul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benliğini öne çıkarmayı bırakıp bütünüyle Rabbine yönelmesi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 Allah’ın ezelî, ebedî ve her şeyi ayakta tutan olduğunu bildirir.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Dünyada başıboş değil, görevli ve geçici bulunduğu sorumluluğunu sezdirir.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Beden sağlığında, güven içinde yaşamda ve faydalı iş yapmada mazhar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Yapılan işlerin tamamlanıp sonuçlarının ortaya çıkması yönüyle ilişkilendiriyor.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Bitişe ve ayrılığa yaklaşmayı hissettirdiği için hüzün veren dönemlere benzetiliyor.</w:t>
            </w:r>
          </w:p>
        </w:tc>
      </w:tr>
    </w:tbl>
  </w:body>
</w:document>
</file>