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4ffc29b3d4b9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Bağda yetişen bitkilerle ilgili anlatılan ilk manevî kazanç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manevî kazanç, bağın ürünlerini yiyenler bakımından nasıl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ikinci kazancın gerçekleşmesi için kişiden hangi bakış açısı istenmektedir?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 bırakmanın, çalışmanın manevî bereketi üzerinde nasıl bir etkisi olduğu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 ilerledikçe ibadetsiz çalışan kişide nasıl bir ruh hâli ortaya çıkabilir?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karşılık ibadetle birlikte helal çalışmayı sürdüren kişinin hedefi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asıl olarak hangi temel düşünce savunulmaktadır?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Çiçekli veya meyveli olmasına bakılmadan bütün bitkilerden pay almak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Ürünü yiyenin insan, hayvan, müşteri hatta hırsız olması neden özellikle 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kendini “dağıtımda görevli” gibi görmesi, mülkiyet anlayışını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 terk eden kişi neden “iflas etmiş” gibi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bıkkınlık ve “bana ne” tavrı hangi şartlarda doğmaktadır?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 terk edilince insan büyük bir kazancı kaçırır; çalışmasına şevk veren ve ona iç destek sağlayan manevî neticelerden mahrum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Malı kendi mülkü gibi değil, Allah’ın emaneti gibi görmesi ve kendini dağıtımda görevli bir kul olarak bilmesi istenir.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O ürünlerden kim faydalanırsa faydalansın, kişi bunu Allah’ın verdiği rızık olarak görüp doğru şekilde tasarruf ederse, bu ona sadaka sevabı olarak döner.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iyi niyetle çalışırsa, yetiştirdiği her bitki ve ağacın Allah’ı anmasından sevap nasibi alır.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için yapılan niyetin, işin türünden bağımsız olarak emeği sevaba çevirebildiğini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Namaz, günlük çalışmayı sadece dünya işi olmaktan çıkarır; ona hem sevap hem bereket hem de manevî anlam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ahiret için hazırlık yapmak hem de amelinin kabrine ve sonraki hayatına fayda vermesini istemektir.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Yorgunluk ve bıkkınlık artar; yaptığı işi anlamsız görmeye başlayıp tembelliğe kayabilir.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 yaptığı işi ahiretle ilişkilendirmezse, özellikle yaşlandıkça emeğini boş görüp isteksizleşir.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görünürde çalışsa da çalışmasının büyük manevî getirilerini kaybeder ve iç dünyasını besleyen kaynaklardan yoksun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sahiplenmek yerine, asıl sahibin Allah olduğunu hatırlatır ve kulun emanet bilinciyle hareket etmesini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Faydaya ulaşanın kim olduğundan çok, kişinin niyeti ve malı kullanış biçiminin önemli olduğunu göstermek için anılmıştır.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İbadetle beraber çalışan kişinin sözlerinden hangi ahiret bilinci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İhtiyarlayan iki kişinin çalışma anlayışı neden farklılaşmaktadır?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bağdaki emekten söz edilirken iki ayrı “manevî kaynak”tan bahsediliyor. Bunların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kaynakta insan, yetiştirdiği şeylerden nasıl bir fayda elde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kaynakta başkalarının o ürünlerden yararlanması kişiye nasıl döner?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terk edilmesi neden sadece bir ibadet eksiği olarak bırakılmamış, daha geniş bir kayıp olarak ele alınmıştır?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karşılaştırmada, ibadetsiz çalışanla ibadetli çalışan arasındaki en belirgin fark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Yaşlılık döneminde çalışmaya devam etme isteği, hangi düşünceyle güçlenmektedir?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Diğer kişinin daha çok helal çalışmak istemesinin asıl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Ürünlerden herkesin faydalanabilmesi niçin olumlu bir sonuç olarak sunulmaktadır?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“hakikî rızık vereni” merkeze alması davranışlarını nasıl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 bırakmak, insanın emeğine güç veren hangi iç desteği zayıflatır?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kucuk-sozler-p59-21-soz-1-makam-5-ikaz-iki-maden-i-manevi-namazi-terk-etmenin-hasareti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yaratılış gayesine uygun şekilde Allah’ı anmalarından manevî pay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insanın günlük çalışmasını ahiret kazancına dönüştürmesidir.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yalnız dünyaya bakar, diğeri ise ahirete hazırlık gördüğü için aynı emeğe farklı anlam yükler.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emeğin ölümden sonrası için de hazırlık olduğunu düşündüğü anlaşılmaktadır.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gayretin kabre nur ve ahirete azık hazırlaması düşüncesiyle güçlenmektedir.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işi yük gibi görüp zamanla usanır, diğeri ise aynı işi ahirete yatırım sayıp daha şuurlu ve istekli sürdürür.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namaz olmayınca insanın emeği de manevî hedefinden kopar ve çalışma ruhunu besleyen derin anlam zayıflar.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adına ve meşru şekilde davranırsa, bu yararlanma onun için sadaka sevabına dönüşür.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Çalışmayı anlamlı kılan manevî şevki ve iç dayanma gücünü zayıflatır.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Kendini mutlak sahip gibi değil, Allah’ın verdiğini yerli yerince kullanan bir kul gibi görmesine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doğru niyet ve doğru tasarrufla bu fayda, sahibine sadaka sevabı olarak geri döner.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Ahiret için daha fazla hazırlık yapmak ve dünyadaki emeğini kalıcı faydaya çevirmektir.</w:t>
            </w:r>
          </w:p>
        </w:tc>
      </w:tr>
    </w:tbl>
  </w:body>
</w:document>
</file>