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5777800ec42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imanı sağlam ve kalıcı hale getiren temel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kalpte ve akılda bulunan iman hükümleri, ibadetle desteklenmezse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zayıflığın İslâm dünyasında görüldüğüne dair metinde nasıl bir delil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insanın hem bu dünyası hem de âhireti açısından nasıl bir faydası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ibadetin dünya ve âhiret işlerine etkisi hangi yönüyle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kişinin kendi gelişimine katkısı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 ile Allah arasındaki ilişki, ibadet bakımından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düşüncesi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insana kazandırdığı şeref, en açık şekilde hangi ilişkide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Mukaddimede en çok vurgulanan dinî kavram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imanla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buyruklarını yerine getirmek ve yasaklarından kaçınmak hangi başlık altında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 hayatta da mutluluğa ulaşmaya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Müslümanların içinden geçtiği mevcut durum buna işaret eden bir şahit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Etkileri zayıflar ve hayata yeterince tesir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İbadet, imanı güçlendirir, insanı olgunlaştırır ve kulu Rabbine şerefli bir bağla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yüce ve şerefli bir bağ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olgunlaştıran ve kemale götüren bir vasıta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iki yönünü de düzene koyan bir sebep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başlığı altında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 sağlamlaştıran ve yerleşik hale getiren şey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kavramıdır.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Rabbiyle kurduğu yüce bağda görünür.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iman hükümleri hangi iki yönle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iman hükümlerinin eğitim görmesi ve kuvvetlenmesi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eksik olduğu yerde dinî hayat neden zayıf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ibadetin dünyevî hayata dair hangi işlevi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açısından ibadetin değeri nasıl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dayanarak, “ibadet sadece şekil hareketi değildir” yargısı nasıl savunulabilir?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kalıcılaşması neden yalnızca zihinsel kabul ile tamamlanmış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hangi iki davranışı birlikte içine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bulunmadığı durumda iman esaslarının hangi yönü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güncel İslâm toplumlarının durumu niçin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saadete vesile olması hangi iki alanı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“Maaş ve mead” ifadesi metinde hangi anlama gelecek şekilde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işlerini düzenlemeye yardımcı olması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iman bilgisi uygulamayla kuvvet bulmazsa davranışlara yeterince yansımaz.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İbadetle beslenip desteklenmesine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Vicdan ve akılla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emirleri yapmak ve yasaklardan sakınmak.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uygulama olmadan onların tesiri tam yerleşmez.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ibadet; imanı güçlendiren, hayatı düzenleyen, insanı geliştiren ve Allah’la bağı kuvvetlendiren kapsamlı bir görev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mutluluğuna ulaştıran bir vesile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 ile ölüm sonrası hayat anlamında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 ve âhireti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İbadetsizliğin veya ibadet zayıflığının sonuçlarını göstermek için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Terbiye edilmesi ve kuvvetlenmesi eksik kalır.</w:t>
            </w:r>
          </w:p>
        </w:tc>
      </w:tr>
    </w:tbl>
  </w:body>
</w:document>
</file>