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f199d058549d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İkindi vakti insana hangi hüzünlü zamanları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batmaya yaklaşması bize dünyanın hangi hâlini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vakit, insanın gün içinde yaptıklarıyla ilgili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o gün aldığı nimetleri nasıl görmelidir?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Ayrılıktan üzülen insan ruhu ikindi vaktinde ne yapmaya çağrılır?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için önce hangi temizlik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çok olan nimetler karşısında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Secde, Allah’ın sonsuzluğu karşısında kulun hangi hâlini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ibadet metinde nasıl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o gün yaşadığı iyilikler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İkindi vakti insan ömründe daha çok hangi dönemi 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Günün bu bölümünde hangi işler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toplu iyilik olarak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 işlerin sona yaklaştığını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hiçbir şeyin sürekli kalmadığını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Sonbaharı, yaşlılığı ve zamanın sonuna doğru gidişi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bir alçalış ve bağlılık hâlini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Şükretmeli ve hamdetmelidir.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Abdest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Namaza durmaya çağrılır.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Günlük işler tamamlanır.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Yaşlılık dönemini 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birlikte büyük bir nimet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bir görev, uygun bir hizmet ve güzel bir kulluk işi olarak tanıtılır.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inişe geçmesi insanın hangi düşünceye varmasına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Sonsuzu isteyen ruh neden ikindi namazına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namazda kul, Allah’ın hangi özelliğine sığınır?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hamd etmek hangi sebeple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Rükû ile secde arasında ortak olan duygu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İkindi namazı kalbe ve ruha ne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İkindi vakti hangi mevsimi akla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 neden yaşlılığı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gün görülen sağlık ve selamet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akşama yönelmesi insana hangi büyük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İkindi namazında kul, kimin huzuruna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namazın sonunda insan içinde ne bulur?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kucuk-sozler-p45-9-soz-5-nukte-asr-namazinin-hikmeti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nimetlere karşı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Bitmeyen merhametine sığınır.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kalıcı olan Allah’a yönelmek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Kendinin dünyada geçici bir yolcu olduğunu anlamasına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gün de ömür gibi akşama doğru ilerler.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Sonbaharı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Teselli, rahatlık ve huzur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ve tevazudur.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Kalbinde teselli, ruhunda rahat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Daima var olan Allah’ın huzuruna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geçici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nimetler olarak değerlendirilir.</w:t>
            </w:r>
          </w:p>
        </w:tc>
      </w:tr>
    </w:tbl>
  </w:body>
</w:document>
</file>