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b02da1faf47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vakti, hangi üç durumu hatıra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vakit, zamanın genel gidişi hakkında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ikindi vakti, günün hangi noktasını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işaretle insanın misafir olduğu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aşağıya inmesi, insanın kendisi hakkında hangi hükme varmasına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ruhu neden sonsuzluğu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namazda nimetler karşısında kuldan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hangi iç hâl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 sırasında anlatılan mahviyet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ikindi namazını kılmak nasıl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vaktin, insan ömrünün hangi dönemine benzetildiği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çağrışımın insanda uyandırdığı duygu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batışa yönelmesiyle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Günlük işlerin toparlandığı sonlara yakın kısmını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sonlara doğru giden yönünü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Hüzünlü sonbaharı, yaşlılık hâlini ve ahir zamanın sıkıntılı günlerini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küçük görüp tam bir teslimiyetle Allah’a yönelme hâli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Şükretmesi ve hamdetmesi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ebed için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bir yolcu olduğunu anlamasına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Hüzün ve fanilik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İhtiyarlık dönemine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bir görev, uygun bir hizmet, yaratılışa uygun bir borcu ödeme ve güzel bir mutluluk kazanmadır.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Kibrini bırakıp tam bir kullukla Allah’a yönelmektir.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Günün bu saatinde insan, o gün yaşadığı nimetleri nasıl görmelidir?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gün elde edilen sağlık ve iyi işler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“misafir” olarak görülmesi onun hangi sorumluluğunu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namazında kul, Allah’ın hangi yönüne sığınır?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Rükûda özellikle hangi duygu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ve secde birlikte düşünüldüğünde kulun hangi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ve secde, Allah’ın büyüklüğü karşısında nasıl bir duruş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namazı neden yaratılışa uygun bir borcun ödenmesi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 insana tabiatta hangi mevsimi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namazına hazırlanırken önce ne yapılmasından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vaktinin ilk bakışta insana hatırlattığı ortak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Ebediyet isteyen bir ruh neden ikindi namazına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kucuk-sozler-p45-9-soz-5-nukte-asr-namazinin-hikmeti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 olmayan rahmetine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Görevini yapıp Rabbine yönelme sorumluluğunu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 ihsanları olarak görüldüğü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nimet birikimi olarak görmelidir.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Rabbine yönelip şükretmesi fıtratına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Saygılı, alçak gönüllü ve teslim olmuş bir duruş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Saygı, teslimiyet ve kulluk tavrını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Kullukta alçalma ve aczini bilme duygusu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olan Rabbine yönelip O’na yakın olmak istediği için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Geçicilik ve sona yaklaşma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Abdest alınmasından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Sonbaharı çağrıştırır.</w:t>
            </w:r>
          </w:p>
        </w:tc>
      </w:tr>
    </w:tbl>
  </w:body>
</w:document>
</file>