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ac53cd92f49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ruhun ilk yönelmesi kime doğru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yöneliş hangi iki yolla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Allah’ın huzuruna çıkıp derdini sunması neden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Sabah vaktindeki bu başvuruda özellikle hangi iki şey talep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gündüz için nasıl bir hazırlık anlamı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gün içinde üstleneceği şeyler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burada insan için nasıl bir işlev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âlemi ifadesiyle ne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çıkarılan temel kulluk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ruhunun hangi durumda bulunduğu varsayılmaktadır?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Fecir vaktinin seçilmesi metinde hangi bakımdan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hangi iki sıfatı özellikle hatırlatılmaktadır?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Başarıya ulaştıracak yardım ve destek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tek başına günün yükünü taşımakta zorlanır ve ilahî yardıma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Yalvarış ve namazla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 tam ve merhameti sonsuz olan Allah’a yönelmektedir.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gün içinde karşılaşacağı hayat şartları, görevler ve meşguliyetler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Dayanma noktası ve güç kaynağı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Başına gelebilecek olaylar ve omzuna binecek görevler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karşılaşacağı işler ve sorumluluklar için manevî dayanak kazanması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kudret sahibi oluşu ve engin merhamet sahibi oluşu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vakit, insanın yeni bir günün sorumluluklarına başlamadan önce yöneliş ve destek aradığı 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Güçsüz, yardıma muhtaç ve önündeki güne hazırlanması gereken bir durumda bulunduğu varsayılmaktadır.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Kişi, güne kendi nefsine güvenerek değil, Rabbinden yardım isteyerek başlamalıdır.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“arzuhal etmek” ifadesi hangi manaya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dua değil, ayrıca namazın da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Tevfik istemek burada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Meded istemek hangi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dayanak daha çok maddî mi, manevî mi bir destektir?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neden sabah vakti özellikle desteğe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“Tahammül” kavramı burada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“nokta-i istinad” oluşu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kendi başına yeterli olduğu mu, yoksa yardıma muhtaç olduğu mu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huzuruna yönelmenin insanın günlük hayatına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ibadetin sadece ahiretle ilgili olmadığı hangi noktadan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merkezindeki ilişki hangi iki unsur arasındadır?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gücünü aşan durumlarda ilahî destek aramasını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İşlerini doğru yolda ve hayırlı biçimde yapabilmek için Allah’tan muvaffakiyet dilemektir.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Sözlü istekle birlikte kulluğun fiilî olarak da ortaya konduğunu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hâlini, ihtiyacını ve dileğini Allah’a sunması manasına gelmektedir.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güven duyacağı, yaslanacağı ve iç kuvvet bulacağı bir temel olmasıyla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ağırlığına ve sorumlulukların zorluğuna dayanabilme anlamında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gün içinde karşılaşacağı olaylar ve üstleneceği vazifeler henüz önündedir.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destektir.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aczi ile Allah’ın kudret ve rahmeti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 içinde yapılacak işlere dayanma gücü vermesinden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hayatın yüklerini daha bilinçli ve daha dayanıklı şekilde karşılamasına katkı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Yardıma muhtaç olduğu vurgulanmaktadır.</w:t>
            </w:r>
          </w:p>
        </w:tc>
      </w:tr>
    </w:tbl>
  </w:body>
</w:document>
</file>