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5676f591d4f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kapanış kısmında kaç not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ileri sürdüğü çözüm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 konuda hangi hükme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girişimin arkasında Kur’an için nasıl bir düşünce yayılmak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sözlerinin manevi değeri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 yerine başka dil kullanıldığında ne kaybolur?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aynı düşünceden etkilenen kişiler ne yapmaya çalışmış?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çeviri metin için ibadet yerlerinde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yayılması zararlı plana karşı nasıl bir görev görmüş?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kişi, yazma sebebi hakkında ne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notta anlatılan kişi, Kur’ana karşı nasıl bir tavır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metne göre bunun arkasındaki gizli niyet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sözler varmış gibi bir düşünce yayılmak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hakiki tercümesinin olamayacağı hükmüne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tercüme edilmesini istemekti.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not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Kur’an yerine okunamayacağı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etkisini azaltmaya çalışmışlar.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özel güzellikleri ve derin anlatımı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sevaplı ve çok kıymetli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 küçük düşürmek ve aslı yerine çeviriyi geçirmekti.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 ve kötü niyet besleyen bir tavır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sıkıntılı durumun bu kısmın yazılmasına sebep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etkisiz hale getiren bir görev görmüş.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Duyulan haberde Kur’anla ilgili nasıl bir girişim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dilde bulunan hangi güzellikler başka dile tam geçmez?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Kur’anın tam tercümesi neden imkânsız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yayılması o kötü planı nasıl etkilemiş?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yaptığı çeviriler neden Kur’anın yerini tutmaz?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sonra bu fikri sürdüren kişiler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neden olup biteni tam öğrenemediğini hangi sebeple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karşısında yazan kişi hangi duygular içinde olduğunu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çevrilmesini istemesinin görünen sözü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notta anlatılan haber ne zaman duyulmuş?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olmasının bir sebebi olarak hangi özellik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isteğin sonunda hangi yanlış uygulama hedeflenmiştir?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meyve-risalesi-p77-10-mesele-hatime-1-hasiye-kuran-tercumesi-plani-ve-akim-kalisi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planı bozup sonuçsuz bırakmış.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 manasını ve inceliklerini eksiksiz vermek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manalar ve özel anlatım güzellikleri tam geçmez.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 tercüme ederek öne çıkarma girişimi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Sıkı, bunaltıcı ve üzücü duygular içinde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İnsanlarla görüşememesine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düşüncesiz çocuklara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sıradan ve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Çevirinin asıl metnin yerine okunması hedeflenmiştir.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tam karşılığının başka dilde verilememesi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Risalenin yazılmasından on iki yıl önce duyulmuş.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ne olduğunu anlasın düşüncesiydi.</w:t>
            </w:r>
          </w:p>
        </w:tc>
      </w:tr>
    </w:tbl>
  </w:body>
</w:document>
</file>