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3724f1d594c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ilk cümlenin işaret ettiği tarih hangi sayıyla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tarihte din adına baskı kurmaya karşı çıkan anlayış hangi alanda temel kural hâline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 biçiminde nasıl bir değişimden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manevî mücadelenin dayandığı temel güç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nur ile karanlığın sık sık karşı karşıya getirilmesi neye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 ve karanlık karşılaştırmaları neden önemli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Risale-i Nur kaç yıldır bu haberin gerçekleştiğini fiilen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hizmetin gerçekleştiği bizzat neyle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anlayışa göre ölüm, iman hizmeti yapan kişi için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bölümde verilen işaretli cümle hangi alana dair baskının azalmasına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tarihle ilgili olarak din ve dünya ilişkisi hakkında hangi gelişme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mücadele biçimi neden manevî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Tahkikî imandır.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Laik cumhuriyete dönüşten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Hükûmet ve siyaset alanında temel kural hâline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1350 yılıdır.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Yirmi yıllık uygulamayla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Yirmi yıldır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metindeki manevî savaşın yönünü ve taraflarını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zamanda süren manevî mücadeleye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silahla değil, iman ve delille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birbirinden ayrılması yönünde bir gelişme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 alanında zorlama ve baskının azalmasına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yok oluş değil, terhis gibi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silahlı mücadeleye karşılık önerilen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Nur, karanlık, iman ve karanlık hâllerinin birlikte anılması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 ve karanlık örnekleriyle yapılan karşılaştırmalar hangi büyük çatışmayı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Yirmi yıllık hizmetin sonucu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“Bilfiil göstermiştir” sözü, anlatılan şeyin sadece düşüncede kalmadığını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ağır düşmanlık karşısında bile kızmak yerine acımak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geçen cümlenin sayı hesabıyla belli bir tarihe işaret ettiği söyleniyor. Bu tarih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tarihte dinî baskıya karşı çıkan yeni anlayış neyi resmî bir ilke gibi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devlet yapısındaki dönüşüm hangi isimle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manevî cihadın silahı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Kur’an’dan çıkan nurun insanlara neyi görünür hâle getireceğini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din uğrunda mücadele bundan sonra daha çok hangi sahada yapılacaktır?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haberin gerçekleştiğinin uygulamada görülmesi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inkâr arasındaki manevî çatışmayı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manevî savaş fikrini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ve ilmî mücadele yoludur.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Vicdan hürriyetini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1350 tarihidir.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merhametin ve güzel terbiyenin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 uygulanıp sonuç verdiğini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sahada yapılacaktır.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yolu ve gerçeği açık hâle getireceğini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Tahkikî imanın kılıcına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Laik cumhuriyet olarak belirtiliyor.</w:t>
            </w:r>
          </w:p>
        </w:tc>
      </w:tr>
    </w:tbl>
  </w:body>
</w:document>
</file>