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6d2dff64548a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ele alınan bölüm, hangi ayet parçasının devamı olarak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ifadelerin sayısal karşılıkları sadece kuru bir hesap olarak mı ele alınıyor, yoksa belirli dönemlere işaret eden bir yön de yükleniyor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İnançla Allah’a bağlanmayı anlatan kısım, hangi eserle isim bakımından uygun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“Sağlam kulpa tutunma” anlamı taşıyan bölüm, metinde hangi süreçle irtibatlandırılmaktadır?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Müminlerin karanlıktan aydınlığa çıkarılması ifadesi, nasıl bir manevî tabloyu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Kâfirlerle ilgili kısımda geçen azgın otorite vurgusu, hangi olumsuz yönelişi temsil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“nur” ve “karanlık” kavramlarının tekrar tekrar karşı karşıya getirilmesi neyi kuvvetlendirmektedir?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Ehl-i küfrün İslâm âleminin nurunu söndürmeye çalıştığı tarihsel hadise, metinde hangi amaçla 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“mecbur oldum, yazdım” tavrı, bu metinde nasıl bir sorumluluk anlayışını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Sonradan yapılan değerlendirmeye göre, bu ayetlerin yalnız belli bir döneme bakmadığı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birden çok ayet bölümünün sayısal değerleri neden peş peşe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 edip sağlam bir bağa sarılmayı anlatan kısımlar, metinde hangi özelliği taşıyan bir yapıya benzetilmektedir?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hizmetin ortaya çıkışı, güçlenmesi ve olgunlaşmasıyla bağlantılı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 ile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Belirli tarihlere ve o tarihlerle ilgili manevî anlamlara işaret eden bir yön taşıdığı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Âyetü’l-Kürsî’nin tamamlayıcı kısmı olarak sunulmaktadır.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Ayetlerdeki işaretlerin tarihî olaylarla uygunluk gösterdiğini belirtmek için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Kur’ân’dan gelen manevî aydınlığın, küfür ve dalalet karşısında dayanak olacağı fikrini güçlendirmektedir.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 hidayetten uzaklaştıran sapkın ve zulmetli bir sevki temsil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 ile batılın, iman ile inkârın ve aydınlık ile karanlığın mücadelesini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Kopmayan, güvenilir ve kurtuluşa vesile olan sağlam bir bağa benzetilmektedir.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bölümlerin bazı tarihler ve hadiselerle anlamlı biçimde örtüştüğünü göstermek için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döneme hitap ettiği, bunun yanında işarî anlamıyla yaşanılan asra da özel bir şekilde yöneldiği kanaatine varılmaktadır.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Gördüğü manevî işareti saklamayıp paylaşmayı bir vazife kabul ettiğini yansıtır.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sağlam bağa tutunan kimse için hangi sonuç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Müminleri aydınlığa çıkarma ile inkârcıları karanlığa sürükleme arasındaki karşıtlık, hangi temel ayrımı görünür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tarihsel işaretler, sadece Risale-i Nur’la ilgili olumlu tarafı mı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Ayetlerde aydınlık ve karanlığın birlikte ele alınması, metne göre neye dolaylı bir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“tevafuk olmasa bile” benzeri değerlendirmesi, hangi yorumu güçlendirmektedir?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“işarî mana” anlayışıyla ne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Müellifin, mananın çağımıza çok kuvvetli baktığını söylemesi nasıl bir okuma biçimine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asra bakmak” ifadesi burada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ayet parçaları arasında “iman”, “nur”, “karanlık” ve “tağut” ekseninde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 etmeyi anlatan bölümün belirli bir eserin ismiyle uygun düşmesi, metinde nasıl yorumlanmaktadır?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“En sağlam kulp” ifadesinin bir hizmete uygulanması, o hizmet hakkında hangi niteliği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“Kopma yoktur” anlamındaki bölümün bu bağlamda anılması neyi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meyve-risalesi-p101-11-mesele-hasiye-lahika-ayetul-kursi-tetimmesi-la-ikrahe-cifri-tevafuklar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Kur’ân kaynaklı bir manevî hizmetin o mücadelede belirgin bir dayanak olacağına işaret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aynı zamanda küfür cephesinin İslâm’ın nurunu söndürmeye dönük girişimlerine de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ile küfür arasındaki yön farkını ve sonuçlarının zıtlığını görünür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Selâmet bulacağı ve doğru yolda korunacağı sonucu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Ayetlerin yalnız tek bir döneme sıkışmadığı, fakat farklı zamanlarda yeni yönleriyle anlaşılabildiği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Ayetleri sadece geçmişte kalmış olaylara değil, bugünün meselelerine de hitap eden canlı bir rehber olarak okuma biçimine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Ayetlerin açık anlamı korunarak, bunun yanında çağlarla bağlantı kuran remzî bir yönü de okunmaktadır.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Mana bakımından ilgili ayetlerin yaşanılan çağa kuvvetle hitap ettiği yorumunu güçlendirmektedir.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Hakikî imanla kurulan irtibatın kolayca çözülmeyen sağlam bir dayanak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Güvenilir, sarsılmaz ve insanı kurtuluşa ulaştırıcı olma niteliğini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manevî bir işaret ve dikkat çekici bir uyum olduğu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 ile batılın ayrıldığı bir mücadele zemini kurulmakta; iman ve nur olumlu, tağut ve karanlık olumsuz tarafta yer almaktadır.</w:t>
            </w:r>
          </w:p>
        </w:tc>
      </w:tr>
    </w:tbl>
  </w:body>
</w:document>
</file>