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6df253e1647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hapis ve musibet hâlinde, âhirete iman bulunmasa nasıl bir sonucun ortaya çıkacağı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maruz kaldığı sıkıntının yalnız kendisine ait olmadığını hangi yönleriyle hissettirdiğini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tabiatında hangi şeye karşı tahammülsüzlük bulunduğu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müellife sabır, direnç ve iç huzuru kazandıran temel kaynak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iman, sıkıntıyı sadece taşınır hâle mi getiriyor, yoksa ona başka bir anlam da yüklüyor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Hapishanenin “eğitim yeri” gibi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“daha büyük mükâfat” fikri hangi anlayışla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Hastalık ve yaşlılıktan gelen bazı sıkıntılar olmasaydı, müellif ne yapmayı arzu ettiğini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Hastalık ve ihtiyarlığın getirdiği zorlanmalar, müellifin manevî direncini tamamen kırmış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âhirete iman, ağır musibet zamanlarında insanın hangi ihtiyacına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hapisteki sıkıntıyı çok ağır görmesinin sebepleri arasında hangi unsurlar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“Canım kadar sevdiğim kardeşlerim” ifadesinin işaret ettiği anlayış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imanından gelen nur ve kuvvettir.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de olsa haksızlık, baskı ve kırıcı muameleye dayanmakta zorlandığı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Sevdiği kardeşlerinin acısını da kendi acısı gibi taşıdığını, ayrıca değer verdiği eserlerin kaybından doğan üzüntüyü de derinden yaşadığını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destek olmasa, çekilen sıkıntı dayanılmaz hâle gelir ve yaşama isteğini kıracak kadar ağır olurdu.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Dersleriyle daha güçlü bir dikkat ve daha rahat bir kalple meşgul olmayı istediğini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Sabırla karşılanan belâların boşa gitmeyeceği ve uhrevî karşılığının bulunacağı inancıyla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Musibetin sırf ceza veya yıkım değil, insanı olgunlaştıran ve manen yetiştiren bir fırsat olarak değerlendirildiğini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dayanma gücü vermiyor; yaşananları sevap kazandıran ciddi bir imtihan ve mücadele alanı olarak görmesini de sağlıyor.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Kardeşlik bağının çok kuvvetli olduğu ve başkalarının derdini kendi derdi gibi görme anlayışıdır.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Haksız yere hapsedilme, büyük bir musibete uğrama, sevdiği kimselerin acısını hissetme ve kıymet verdiği eserlerin kaybına üzülme gibi unsurlar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Dayanma, teselli bulma, sarsılmama ve yaşanan acıya anlam verebilme ihtiyacına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Kırmamıştır; sadece çalışma rahatlığını ve bedenî huzurunu bir ölçüde azaltmıştır.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Eserlerin kaybına üzülmesi, metindeki hangi değeri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daha önce küçük bir baskıya bile tahammül edemediğini söylemesi, sonraki cümlelerle birlikte nasıl okunmalıdır?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 müellife sadece pasif bir sabır mı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Musibetin “kârlı bir imtihan” olarak görülmesi, olaylara bakışı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Hapishaneyi hayırlı bir medrese gibi görmesi, dış şartlarla iç yorum arasındaki ilişkiyi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konudan ayrıldığı belirtilirken istenen hoşgörü, hangi edebî ve ahlâkî tavra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 alan ifadeye göre, âhirete iman olmazsa bir günlük hapis ve musibet nasıl bir etki doğurabilirdi?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Müellifin, başkalarının elemini de taşıdığını söylemesi hangi ahlâkî olgunluğu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Kıymetli kitapların kaybına üzülmesi daha çok hangi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 küçük bir tahakküme bile katlanamayan birinin bu durumda sarsılmaması neyle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sabırla birlikte zikredilen üç önemli manevî sonuç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“Mücahidane şevk” denilebilecek hâl, sıkıntıya karşı nasıl bir tavrı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Acıyı anlamsız bir felaket olmaktan çıkarır; onu manevi yükselişe vesile olan bir sınav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aktif bir direnç, mücadele ruhu ve kazanç ümidi de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tabiatındaki zorluğa rağmen iman sayesinde değişen direncini daha belirgin göstermek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kıymetten öte ilme, hizmete ve manevî emeklere verilen değeri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Diğerkâmlık, kardeşlik şuuru ve empati sahibi bir gönül yapısını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Öylesine ağır gelirdi ki, insana ölüm kadar sarsıcı bir baskı yapabilirdi.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Nezaketli, ölçülü ve muhatabını gözeten bir konuşma adabına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dış şartın, imanlı bakışla bambaşka bir manaya bürünebildiğini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Boyun eğen ve çöken bir tavrı değil, gayretli, anlamlı ve hedef sahibi bir karşı koyuşu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Teselli, sağlam duruş ve tahammül gücüdür.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imanın verdiği manevî aydınlık ve güçle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eşya kaybı olarak değil, ilim ve hizmet vasıtalarının zedelenmesi açısından önemlidir.</w:t>
            </w:r>
          </w:p>
        </w:tc>
      </w:tr>
    </w:tbl>
  </w:body>
</w:document>
</file>