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88e71e00147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first man stand for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think living creatures are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wrongly think about giant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three things the believer sees this world 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believer think this world is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voices of creatures mean in the believer’s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sounds of living things like in the believer’s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living beings compared to in a happy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example of the Paradise tree teach about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Muslim say often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man in the passage is in a better state inside: the unbelieving man or the believing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he think about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place of Allah’s remembrance, a school, and a test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only dead and frightening.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lonely and crying under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who does not believe, or someone who is sinful and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regular soldiers and honest officials.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praises, thanks, and joyful sounds.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praise, thanks, and happiness in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remembering Allah, learning, and being tested.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lonely and hurt by death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believing 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to Allah for Islam and complete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leads to something beautiful and blessed.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think about mountains and oceans?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bad things bring him to that suffering?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next world described as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believer call death after life’s duties are done?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belief bring out for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grows from belief,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relationship does the believer feel with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where can people find true safety?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is the first man meant to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sad things the first man thinks are happening to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causes these painful thoughts in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those delusions grow?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release from duty and a move 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happy and free from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Unbelief and going astray.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huge, lifeless, and frightening.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Islam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feels they are friendly and belong to his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Something like a beautiful tree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Beautiful, sweet, and uplifting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Unbelief and misguidance.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lack of belief and his wrong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alone, and he thinks death tears them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Someone without faith, or someone who is corrupt and heedless.</w:t>
            </w:r>
          </w:p>
        </w:tc>
      </w:tr>
    </w:tbl>
  </w:body>
</w:document>
</file>