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13f4dd8b34b7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traveler is shaking with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traveler is welcomed with honor?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traveler lives with despair?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fortunate traveler’s view of himself and the creatures around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fortunate traveler show self-control with the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unhappy traveler does to a bright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person not to be blamed on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fortunate brother see that the other does not?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fortunate brother receive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brought the second brother true happiness?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happening to the unlucky traveler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fortunate traveler look at the strange things around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feels like a respected guest among friendly helpers.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unfortunate traveler.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fortunate traveler.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unhappy traveler on the left road.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and its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caused the trouble by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changes it in his mind into a dark and painful lie.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only tastes it and waits calmly.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a helpful and pleasant lesson.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trembling and expecting something terrible.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good intention, good will, good character, and good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recognizes the truth and respects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life is the miserable traveler feeling inside?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does the miserable traveler have of his life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permission is given with the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is the banquet example really taking place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fortunate brother deserve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meaning in this passage teach about good and evil?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four good things are named as reasons for the second brother’s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road’s traveler is described as unhappy in this part?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difference between their fears?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feelings fill the fortunate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traveler’s wrong thought about the creatures near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example, what does the person do at the summer garden meal?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Summer.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taste it a little so a person can seek the real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thinks he is trapped and surrounded by danger.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lonely and painful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traveler on the left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Good intention, good will, good character, and good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Evil starts from ourselves, and good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sees the truth as good and shows respect.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drinks bad things and then imagines false troubles.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thinks they are only wild attackers.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Hope, longing, and a feeling of belonging.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has crushing fear, but the other has a gentle fear mixed with learning and love.</w:t>
            </w:r>
          </w:p>
        </w:tc>
      </w:tr>
    </w:tbl>
  </w:body>
</w:document>
</file>