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73e0e24174ee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can happen when a person thinks only about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city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second man think about the friends who are gone?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warning is given about being heedless?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speed of man’s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world look like when seen with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teach about human life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bad result comes from saying disaster losses have no reward?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these trials do for sins linked to not thanking Allah enough?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warning at the start of the passage about loving only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first man think about the place where his friends went?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sad belief does the second man have about his absent friends?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not be careless and act like the second 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thinks they have vanished in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Istanbul.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big joy can turn into deep sadness.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puts people into terrible despair.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 life is not outside Allah’s order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looks ordered and full of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gets quicker.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believes they are gone in a hopeless and miserable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thinks of it as a good place and wants to go there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change happiness into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can serve as atonement.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emotion should a person fight when thinking about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do instead of shrinking away from the grave?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human neediness and weakness?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a person uses wisdom, what does he see in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earth’s movement?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the many kinds of living things on earth point to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can these events be mercy for believers besides reward?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can happen if someone looks only at worldly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fills the first man when he is allowed to go?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second man try to make himself feel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not do because of death and the grave?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common excuse about modern times is rejected?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short-words-p62-twenty-first-word-first-station-conclusion-wisdom-in-calamity-and-consolation-through-belief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Order and purpose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increase.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Face it and think about its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Fear.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Sweetness can become sorrow.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can wipe away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arranged beautifully and carefully for many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the earth turns in an orderly way toward high goals.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excuse that everyone is busy with worldly life, so that is just normal.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should not be terrified and turn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gets attached to one guest and looks for comfort in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Joy.</w:t>
            </w:r>
          </w:p>
        </w:tc>
      </w:tr>
    </w:tbl>
  </w:body>
</w:document>
</file>