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676150d8e4d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 person will find in believing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two men hoping to gain from their trip?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first man view the land he entered?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his seeing the whole country as a mourning place tell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think he saw all around him besides enemies?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he understand the people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second man view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tell the unhappy man about the source of his false 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second man tell the first man was the real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realize about the role of drink in his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the story is used to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traveler had a bad view of life, and why?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could not see any goodness or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it as an evil and painful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Enjoyment and business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happiness, blessings, pleasure, and 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came from the darkness within his own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them as friends and like family.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friends and close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Dead bodies and crying, hopeless children.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traveler did, because he was arrogant, self-centered, and gloomy.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belief in Allah brings joy, goodness, and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realized it had driven him into madness.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ugliness inside him was making him see the outside world wrongly.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did his way of thinking have on the whole country in his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his eyes, what were the people around him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sounds of happiness did he hear?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joyful things did he notice everywhere?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second man do when he met the first man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his response after his good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took place in the unhappy man after the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he did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verse is mentioned near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story called a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scenes made him upset wherever he went?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larger mood covered the whole country in his eyes?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Festivals, remembering Allah,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Good wishes, thanks, and words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enemies and strangers.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made the whole place seem filled with grief.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false covering over his sight would be lifted and he would see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recovered his senses and turned back in repentance.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thanked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his condition and gave him sincere advice.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Deep mourning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thought he saw helpless people crying under harsh oppressors.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two different kinds of people and how they see the same kind of journey very differently.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verse about those who believe in the Unseen.</w:t>
            </w:r>
          </w:p>
        </w:tc>
      </w:tr>
    </w:tbl>
  </w:body>
</w:document>
</file>