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f405ff53c43d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“second morning” make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sure does the passage say that rising after death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event is compared to that certain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five prayer times each begin?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daily changes, what larger time periods do these prayer times remind people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do these times call to mind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act are the required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required prayers described as especially suitable for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follows from all these reminders?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morning is linked with the morning that comes after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everyday morning to help people understand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spring after the Intermediate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begins an important change or turning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season of spring after the Intermediate Realm is also described as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it is as sure and certain as the coming of morning after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person think about the morning when people will be raised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these times remind people of great changes and of Allah’s mighty works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 natural duty, the foundation of worship, and a debt that must be paid.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call to mind His power and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remind people of changes in each year, each age, and each long period of history.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it will surely come, just like morning surely 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 certain return of morning as an example to show that resurrection is also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linked with the morning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conclusion is that the required prayers fit these times perfectly.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shared by all five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times remind people about every year, every age, and every epoch?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divine qualities are highlighted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prescribed prayers described in relation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idea does the passage teach about praying at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wise to pray at these exact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does the “second morning”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tomorrow morning and the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season is mentioned along with the resurrection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comes before that spring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five prayer times each signal?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do these times help people remember through Allah’s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the base or main support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and mercy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remind people of Allah’s acts of power and His merciful gifts in all those periods.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of them mark the start of an important change.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both are equally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times themselves match the meanings of worship and remind people of Allah’s greatness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praying then is very proper and well-matched to those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people remember His amazing power and His merciful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each signal the beginning of a major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Intermediate Realm comes before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 is mentioned.</w:t>
            </w:r>
          </w:p>
        </w:tc>
      </w:tr>
    </w:tbl>
  </w:body>
</w:document>
</file>