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88b45f50144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benefit of giving one’s temporary life and possessions for Allah’s sake?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realms are mentioned for the appearance of these results?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third profit say happens to human powers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intellect become when it is used on behalf of its true Owner?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eye meant to become when used rightly?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negative result of using the tongue and taste only for the stomach?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fourth profit teach about human independence?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Into what does temporary property change in the first benefit?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correct the idea that life’s moments simply disappear?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reward named in the second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eye’s proper dignity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low use of the tongue and taste?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a means of opening deep truths, mercy,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value is multiplied greatly.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eternal world and the intermediate realm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temporary is turned into something lasting, and a passing life brings eternal results.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cannot carry life well by themselves because they are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lowered to a crude bodily function without higher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perceiver of the meanings and signs placed in the world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Serving appetite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means of seeing the signs and artistry of Allah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continue as blessed results in the eternal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a believer gain through faithful use of the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truths about human life are emphasized in the fourth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idea of the first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benefit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negative example given for the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eye when it is used only to chase temporary beauty and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connection does the passage make between belief and one’s inner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happens to passing possessions in the first profit?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those same moments become in the eternal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principle does the third profit teach about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wrong with using the eye only for passing attractions?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does faithful use of one’s faculties help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Paradise is given as the return.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Giving what is temporary to Allah leads to permanence.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are weak, needy, vulnerable, and surrounded by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nature fit for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made enduring.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shapes a person into someone suited for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falls into serving lust.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it serves the lower self, it harms the person instead of helping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fit for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lowers the eye into serving desire instead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value rises immensely when they are used as Allah intended.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become flourishing blessings and good outcomes.</w:t>
            </w:r>
          </w:p>
        </w:tc>
      </w:tr>
    </w:tbl>
  </w:body>
</w:document>
</file>