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a426cee594e4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this warning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give only a warning, or also some encouragement?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reasons are given for the difficulty?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clue from the first cause that the book is personal in style?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reason the book may be hard?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might a proof need many beginning parts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reason, what makes the discussion longer?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not do to the first draft?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language-related details are mentioned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message of the warning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help us understand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not his main goal in writing?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written from the writer’s own observations.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both warning and encouragement.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about why this book can be hard to understand.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did not revise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proofs and signs are included.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truth being shown is large and needs setup.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topics are very big, deep, and long.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Matching the ideas of other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in a garden picking only some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 everyone will understand everything, but everyone can gain something.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parts were in Arabic, and one fully Arabic section was made separate.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cause, what three words best describe the topics?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third reason the book may be hard?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fifth reason, when did these ideas come to the writer?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cause shows that the writer was not trying to write for everybody’s level?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final detail shows why some readers might struggle with the book’s language?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note is this passage: a story, a warning, or a set of rules?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the book is made for only one kind of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reasons are given for the book being hard to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cause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such a subject be hard for some readers?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fourth reason the book may be hard?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he not fix and rearrange the writing later?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supreme-sign-p01-5-causes-making-understanding-difficult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cause.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During Ramadan.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sentence may become very long to protect one whole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Wide, deep, and long.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 reasons.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is for different readers with different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Parts of it were in Arabic.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felt he should not change it by his own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many proofs and evidences.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very broad and deep.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book comes from the writer’s own understanding and experience.</w:t>
            </w:r>
          </w:p>
        </w:tc>
      </w:tr>
    </w:tbl>
  </w:body>
</w:document>
</file>