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ef967b65246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kind of provision talked about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this second form seem necessary even when it is not truly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this second kind depend on a fixed promise, or on Allah’s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believer feel when receiving Allah’s bounty?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work should a person keep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thankful person do with Allah’s favors during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were the eye, ear, heart, imagination, and mind made like keys?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same kind of provision given to every ability in exactly the same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eye especially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example from the passage of a sense receiving its special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second form of provision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three causes named for this kind of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depends on Allah’s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 person becomes used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extra kind people get used to wanting because of habit and waste.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Each one gets what fits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can receive special gifts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Accepts them with thanks and lives happily.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Lawful and proper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Habit, wastefulness, and misuse.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getting used to things through habit, wasting, and using things the wrong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eye receives the joy of seeing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it receives beauty from the world as a gift.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life of someone who is content and careful?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simple living connected to happiness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that good effort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these inner and outer kinds of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human senses and inner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effect does the right provision have on these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human abilities described as keys?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Allah make these abilities like keys to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 of provision is being explained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attitude makes a person truly fortunate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a person ask for provision besides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human abilities are named as receiving special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Most Merciful Provider,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an active du‘a for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brings peace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Pleasant and happy.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can open and receive many beautiful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open the way to receive gifts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them glad and pleased.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also need their own kind of nourishment.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heart, spirit, intelligence, eye, ear, mouth, imagination,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inner abilities and the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Frugality, contentment, and thankful halal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second kind, which is not the true basic need for life.</w:t>
            </w:r>
          </w:p>
        </w:tc>
      </w:tr>
    </w:tbl>
  </w:body>
</w:document>
</file>