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adc2f4f1244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belief statement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use to learn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species are mentioned to show the greatness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fields of study are named as signs for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person use to notice this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included among those sustained?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problems are denied in Allah’s giving of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beautiful name of Allah in the passage that is about kindness.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asked for the speaker and for helpers in sharing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prayer’s ending sentence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sentence tells the biggest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thinking and learning in this part of the text?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Biology and botany.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 witnesses and sees.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is God, and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Mistakes and forgetfulness.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Everyone who needs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eyes.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inquisitive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Praising Allah,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Forgiveness.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number of species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creation especially helps people think about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words describe how this mercy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this administration is perfect?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is sustenance given,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names of Allah at the start of the du‘a are also in “Bismillah”?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whose sake does the prayer begin its request?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helpers are specially remembered at the end of the du‘a?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only One worshiped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were these four truths witnessed?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kinds of living things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school subjects are named as witnesses to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no mistakes and no defects.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Wide and orderly.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 greatness of Allah’s creating.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who write and copy the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the sake of saying “In the name of Allah.”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Merciful and the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time of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Biology and botany.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</w:tbl>
  </w:body>
</w:document>
</file>