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c8c50d716455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the teacher in the school the traveler came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Imam say is the most important fruit of spiritual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some great people of the past say would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spiritual path’s quiet dhikr was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say is worth more than a tiny increase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in faith did the traveler say people should seek?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worship number was thirty-three linked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the traveler moved through times, whose school did he come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say is better than many amazing spiritual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Imam say he wished?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Imam call belief and declaring Allah’s oneness in human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say was sweeter than many visions?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Naqshbandi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scholar would come and prove the truths of faith and Islam clearly with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understanding of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Rabbani, Ahmad Faruqi.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school of Imam Rabbani.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litanies said after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copied faith to realized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worth more than lots of spiritual knowledge and other perfections.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Stronger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base, core, light,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wished to be that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faith truth becoming clear.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future blessings are tied to faith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call the next place he would 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main teacher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Imam say spiritual paths should mainly bring?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proofs did the expected scholar 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note say time later showed?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activity was called better than a year of worship in the hadith?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call the Imam?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did the attackers against faith come,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traveler’s next goal number for degrees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did he use as the key before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famous Imam’s school appears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Rabbani.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Everlasting happiness, endless life, and eternal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heroic Imam.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Reflection for an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real answer was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Rational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Rabbani’s school.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“In the Name of Allah, the Merciful, the Compassionate.”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Europe.</w:t>
            </w:r>
          </w:p>
        </w:tc>
      </w:tr>
    </w:tbl>
  </w:body>
</w:document>
</file>