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f5657ae004c6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value of this treatise even though it has some difficulties?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person from early Islam is named as honoring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Imam Ali treat this part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“true exposition” tell us about the treatise’s role?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Seventh Ray connected to the name Staff of Moses?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covered in the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found in the First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Introduction longer than the speaker first intended?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opinion might some people still have about the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might readers react differently to the same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idea of the first paragraph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said to have known about this work before it was written?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 treatise is meant to clearly explain the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gave it special attention and pointed people toward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treatise is still very important.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there was a need to explain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Arabic part of the explanation of the Supreme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Four important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the Imam used that name for the Seventh Ray.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Imam Ali.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with its hard parts, the book is presented as very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may think it is too long, and others may think it is not long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may think it is still too short.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by saying he directed people’s gaze toward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title connects the work with Prophet Musa’s staff?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wanted the Arabic explanation, which part should the student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another way the passage identifies this treatise inside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 speaker plan from the start to make the Introduction very long?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Introduction contain?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verse, what is their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central duty mentioned in the final verse quoted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from earlier is mentioned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noble companion is mentioned in connection with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Imam Ali did about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did that special favor have on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identifies it as the Seventh 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Station.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Staff of Moses.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people should pay attention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Worshipping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purpose is to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Four important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He says that was not his plan.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directed their attention to this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predicted it and gave it special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book has flaws and is hard in some ways.</w:t>
            </w:r>
          </w:p>
        </w:tc>
      </w:tr>
    </w:tbl>
  </w:body>
</w:document>
</file>