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c44db49bd405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strongly want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stages of certainty are mentioned in his desire to advance?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do these guides have to the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special about the place where they gathered?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place welcomed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guides “unanimous”?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different paths of the saints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is used for the sun and its colors?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combined witness of prophets, scholars, and saints so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shared agreement become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what place did the traveler come out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spiritual guides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a very large and radiant place formed by many smaller spiritual centers joining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journey to truth takes place under his path and his ascension.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rise from knowing with certainty to seeing with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witness how faith grows stronger and rises to a higher level of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sun is described through the colors that appear in its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many different bright colors and ways, all coming from the same divine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agreed in declaring Allah’s oneness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broad, luminous spiritual lodge made from many joined centers welcomed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thousands or even millions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came out from a classroom.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a very great and shining consensus that points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joins revelation, reasoned proof, and spiritual experience into one united testimony.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those guides already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about the size of their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gathering place described in size and brightness?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truth they agreed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traveler think their agreement matters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saints linked to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earlier groups are joined with the saints in a shared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joint witness of prophets, scholars, and saints?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 eager to observe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invited him at this stage?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were the spiritual guides busy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guides themselves?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truth must be very clear and strong since so many holy and enlightened people agreed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very vast and full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their community was extremely large.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reached truth and a level of direct spiritual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 powerful shared agreement brighter than broad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prophets and the purified scholars are joined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many spiritual colors are said to reflect the divine names in great variety.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if so many pure and gifted people agree on the same truth, that truth cannot be ordinary or weak.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them as people of spiritual insight and remarkable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striving for the truth and reaching spiritual 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Spiritual guides invited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eager to observe the lights found in faith becoming stronger and developing further.</w:t>
            </w:r>
          </w:p>
        </w:tc>
      </w:tr>
    </w:tbl>
  </w:body>
</w:document>
</file>