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d0eb14d6c46b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Divine attribute is named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is described as the clearest sign that a being exists?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other kind of proof is given through holy books from heaven?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enough for the traveler at this point,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Allah described in relation to oneness in that same summary?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do Allah’s names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things are linked with determining, shaping, and regulating?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difference explained in the Note between the first chapter and the second chapter?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writer say the second chapter will be brief?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topic opens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is drawn from that verse about Allah’s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one pair of proofs the passage gives for this truth before mentioning books.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lights and meanings found in the Qur’anic verse about Allah’s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Sacred revealed books are presented as a wide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attribute of 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first chapter treats these truths mainly as proofs of necessary existence, while the second chapter treats them mainly as proofs of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Choice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appear through His qualities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 One and Unique.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Revelation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limitless.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Divine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different obstacles kept him from giving a long explanation.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the reader should do for a fuller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this verse alludes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lesson, what agrees together in pointing to Allah’s necessary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kinds of action are linked with will and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features of the universe’s order are mentioned at the end of that list?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relationship between unity and necessity is stated clearly in the Note?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attribute of Allah is the focus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 sign is used as an example to show that a being exists?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forms of Divine communication are named as strong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effect of sending the reader to other degrees?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shows that Allah has no partner and no equal?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the names being manifested through qualities and deeds?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supreme-sign-p73-direct-knowledge-of-allah-19th-degree-2nd-truth-divine-speech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Bringing into being, creating, and making.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His sacred attributes and all His beautiful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heart of the lesson learned by the traveler.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Look to the other degrees of the treatise.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Speaking.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proves the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Harmony and balance.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names become known through what He does and how He acts.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and Unique.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fuller proof has already been discussed elsewhere.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Revelation and inspiration.</w:t>
            </w:r>
          </w:p>
        </w:tc>
      </w:tr>
    </w:tbl>
  </w:body>
</w:document>
</file>