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ac2c185be493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note say some ideas from other works were included again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note justify keeping all of the present treatise instead of shortening it to avoid overlap?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purpose behind asking students in that area to write down the present treatise 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surprising feature was noticed in that person’s copy?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letter is singled out in the discussion of the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claim is made about the title after this numerical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sacred source is the treatise then connected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problem in that location led to repetition from earlier Risale-i Nur works?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that limitation shape the content of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writer want the students of that region to produce through copying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notable about the person who revised the draft?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part of the page layout did this pattern 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meaningful pattern was found in the letters, especially in the number of alifs at the beginnings of lines.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purpose was to help them create a small-scale complete collection.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full text was written so local students could produce a complete miniature version of the collection.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those other parts were not available where this treatise was being written, so some important points had to be restated 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earlier sections were not present there, so material from them was repeated in this treatise.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connected to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claim is that the number supports the title as fitting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letter alif.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appeared in the alifs at the beginning of the lines.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without specialized knowledge, he produced a copy in which a deep letter pattern appeared.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complete small version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led to the inclusion again of important material from other books in the collection.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might this be seen as more than an accident within the logic of the note?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note, what circumstances explain why this treatise includes material also found elsewhere?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about access to books in the place where this treatise was written?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person who prepared the revised copy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reviser’s lack of expertise contrasted with the result of 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limitation affected the writing of the treatise according to the note?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observed in his copy that drew attention?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correspondence supposedly show about the title?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copy was later revised?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major relationship built on the number 666?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note say about the person who made the revised fair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number 666 correspond to in the note?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described as a blessed person who did not have learning in those technical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Access was limited enough that the writer could not consult all the related works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needed books were missing in the place of composition, so key points from them were included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writer presents it as a subtle and meaningful sign rather than a random count.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title is especially appropriate for the treatise.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deep pattern in the lettering was observed.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other relevant parts of the larger work were not available in that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though he lacked technical knowledge, his copy still displayed a refined and meaningful pattern.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corresponds to the abjad value of the title The Supreme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described as blessed, though not trained in these kinds of symbolic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matched with the numerical value of the treatise’s title in the abjad method.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preliminary handwritten version was later revised.</w:t>
            </w:r>
          </w:p>
        </w:tc>
      </w:tr>
    </w:tbl>
  </w:body>
</w:document>
</file>