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87ce519304c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ibadeti terk etmenin ağır şekilde cezalandırılmasının temel gerekçesi hangi iki ana noktaya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hakkına saldırı sayılmasının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varlıkların olgunluğu hangi yönde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terk eden kişi varlıkları nasıl değerlendirme hatasına düşer?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âlemi farklı görmesi hangi esasa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Üzüntü içindeki bir insanın çevresini farklı görmesi hangi fikri desteklemek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samimiyetle ibadet eden kişinin varlıklara bakışı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veya inkâr sebebiyle ibadeti terk eden kimse neden manevî zulüm işlemiş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cezalandırma anlayışı hangi dünyevî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bölümünden çıkarılacak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Kur’an’daki sert uyarılar, metne göre neyi korumaya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bırakmak, mevcudata karşı nasıl bir haksızlık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görevsiz, cansız gibi, kıymetsiz ve dağınık şeyler olarak zanneder.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bakan yönlerinde zikir, tesbih ve kullukla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 Yaratıcıyı bildiren ve O’na yönelen anlamlı varlıklardır; ibadeti bırakan kişi bunu göremeyip onları değersiz sayma yanlışına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varlıkların manevî hakkına zarar vermesi, diğeri de insanın hakikati yanlış görerek zulme düşmesidir.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varlıkların gerçek değerini ters yüz ederek onların hakkını inkâr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kişi, varlıkların Allah’ı anan yönlerini bir ölçüde fark eder ve onların hakikatine daha uygun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ruh hâlinin ve bakışının, dış dünyayı yorumlamasını değiştirdiğini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Kalbindeki inanç ve iç dünyası, onun kâinatı algılayış biçimini etkiler.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Yaratıcıyı gösteren ve O’na kulluk eden yönlerini yok saymak anlamına geldiği için haksızlık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değeriyle birlikte varlıkların manevî hukukunu korumaya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sadece kişinin şahsî işi değildir; kâinatın manevî anlamıyla bağlantılı olduğu için terk edilmesi büyük bir haksızlığa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Halkın hukukunu korumak için küçük görünen bir suça bile sert ceza veren hükümdar örneğiyle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varlıkların yüksek değeri hangi iki özellikle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yüksek değeri görmeyen kişi varlıkları hangi seviyeye indirir?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“Herkes kâinatı kendi aynasıyla görür” düşüncesi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Sevinçli insan örneği metindeki hangi düşünceyi açıklığa kavuşturur?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ehlinin varlıkların tesbihini görebilmesi, onun hangi özelliğiyle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 terk eden kişinin yanlışı sadece kendi şahsıyla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asıl hata, varlıkların dış görünüşünde mi, yoksa insandaki yorumda mı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ibadetin hangi yönü özellikle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namaz ve ibadeti bırakmanın neden büyük bir suç gibi görüldüğü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“hakkı” denince bu parçada esasen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İbadetsizlik, varlıkların kemaline nasıl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kâinat için ölçü ve denge unsuru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hâlinin kâinat algısını değiştirdiği düşüncesini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iç dünyasındaki hâle göre dış dünyayı yorumlar.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anlamdan yoksun, sıradan ve kıymetsiz şeyler derecesine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hakikatleri bildiren işaretler olmaları ve Allah’ın isimlerini yansıtmalarıyla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İbadetin, insanın kâinatı doğru okumasını sağlayan bir anahtar olduğu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hata, insandaki yanlış yorumda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bakışındaki bozukluk bütün varlıkları değerlendirişine de yansır.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Düşünerek, ciddiyetle ve bilinçli şekilde kulluk etmesiyle ilişkilidir.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âlemi anlamlandırırken merkezî bir konumdadır; bakışı düzgünse doğru, bozuksa yanlış bir tablo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onların kulluk yönünü reddettiği için, gerçek kıymetlerini tanımamış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göstermeleri, O’nu anmaları ve bu yöndeki değerlerinin kabul edilmesi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davranış, yalnızca bir görev ihmali değil; varlıkların taşıdığı manayı inkâr eden bir tavır olarak görülüyor.</w:t>
            </w:r>
          </w:p>
        </w:tc>
      </w:tr>
    </w:tbl>
  </w:body>
</w:document>
</file>