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44f2e748a47c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 bırakana ağır uyarılar verilmesi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 ve ibadeti bırakmak, varlıkların hakkına nasıl bir yanlış yapmış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varlıkların güzelliği ve olgunluğu ne ile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 terk eden kişi varlıkları nasıl görmeye başlar?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düşünmek varlıklara karşı hangi kötü davranıştır?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insanın dünyayı biraz farklı görmesinin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üzgün bir insan çevresini nasıl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sevinçli bir insan kâinatı nasıl görür?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Düşünerek ibadet eden kişi varlıklarda neyi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Gafletle ibadeti bırakan kişi varlıklar hakkında niçin yanılır?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ibadeti terk etmenin cezasının sert olması hangi sebeple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haksızlık yalnız kişiye mi olur, yoksa başka şeylere de olur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Değersiz, boş ve görevsiz sanır.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anmaları ve kulluk etmeleriyle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değerini görmeyip manevî yönden haksızlık etmiş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Halkın hakkını koruyan bir hükümdarın ceza vermesine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Neşeli ve sevinçli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Kederli ve ağlar gibi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Kalbindeki inanca ve hâline göre görmesidir.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küçümsemektir.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varlıklara da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haksızlık sayılmasıyla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hallerine ters bir düşünceye kapılır.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Allah’ı anışını bir miktar anlar.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 Allah’a dönük yönlerinde ne yapıyor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 bırakan biri varlıkların bu yönünü görünce mi, görmeyince mi hata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kâinatı görmede ne gibi bir araç gibi yaratılmıştır?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insan için ayrı bir âlem var denince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üzüntü olan birinin bakışı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sevinç olan biri bakınca ne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edenle ibadeti bırakanın varlıkları görüşü aynı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Gaflet ve inkâr, insanı doğru görüşe mi götürür, yanlış görüşe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Kur’an’daki sert uyarılar haksız mı, yoksa yerinde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için verilen hükümdar örneği bize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 terk eden kişi kimin yönetimindeki varlıklara karşı yanlış yapmış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olgunluğu hangi güzel iş ile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tabiat-risalesi-p25-hatime-1-sual-terk-i-ibadetkainatin-hukukuna-tecavuz-ve-alemi-itikada-gore-gormek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Herkesin dünyayı kendi iç hâline göre görmesi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 ve tartı gibi bir araç olarak yaratılmıştır.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Görmeyince hata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Tesbih ediyor ve kulluk ediyor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görüşe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biri doğruya daha yakın görür, öteki yanlış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Çevreyi sevinçli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üzgün gibi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anmaları ve ibadetleriyle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Ezelî ve ebedî Sultan’ın varlıklarına karşı yanlış yapmış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Hakkı korumak için bazen ağır ceza verilebileceğini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Yerinde gösteriliyor.</w:t>
            </w:r>
          </w:p>
        </w:tc>
      </w:tr>
    </w:tbl>
  </w:body>
</w:document>
</file>