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0454b1b5e4c7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 terk eden kimse önce kime haksızlık 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kendi nefsine tam sahip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hakkını korumak için nasıl bir karşılık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bırakmak, insanın yaratılış amacı bakımından ne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ibadeti terk etmek yalnız kişiyi mi ilgilendirir?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haklarına dokunmak burada hangi yönden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ile ibadeti bırakmak arasında hangi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Şiddetli tehditlerin uygun olmasının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sert bir üslup seçmesi neye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Kur’an’ın anlatımı hakkında hangi yargıya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Nefis neden korunması gereken bir emanet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bırakmak, yaratılışın sonucu ve amacı açısından neyi bozmuş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 gayesine aykırı bir davranış ve ilahî hikmete karşı saygısızlık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Ağır bir uyarı ve ceza ile karşılık göreceği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Nefsin, insanın gerçek malı değil; Allah’ın kulu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kendi nefsine haksızlık etmiş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yapılan iş hem nefse, hem kâinata, hem de ilahî hikmete karşı ağır bir yanlış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varlıkların değerini düşüren ve hakikatini inkâr eden bir tavır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taşıdığı güzellik ve olgunluğu görmezden gelmek yönüyle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kâinatın haklarına da dokunan bir yanlış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belirlenen kulluk gayesini bozmuş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bağımsız malı değil, Allah’ın kuludur.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Anlatımın çok yerinde, hikmetli ve duruma tam uygun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Durumun ciddiyetine tam uygun bir anlatım olduğu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davranış, ilahî hikmet ve Rabbin dilemesi karşısında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ibadetsizlik sadece bireysel bir eksik midir, yoksa daha geniş bir etkisi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inkâr ile ibadetsizlik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Cezanın ağır olması hangi düşünceye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konuda güçlü ifadeler kullanması nasıl bir söz güzelliği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sert uyarılarının amacı neyi bildirmektir?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 ibadetin değeri hakkında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namazı terk eden kişinin nefsiyle ilişkisi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nefsine zulmettiğinde bu zulüm neden daha ciddi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 terk etmek insanın hangi temel görevini yerine getirmemesi anlamına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görev, insanın hangi yönüyle bağlantılı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İşlenen yanlışın basit olmayıp çok yönlü bir saldırı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varlıkları aşağılamak, diğeri de onların olgunluğunu yok saymak olarak birbirine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etkisi vardır; kâinata da yönelmiş bir haksızlık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karşı gelme ve sınırı aşma gibi değerlendirilir.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sıradan bir iş değil, insanın asıl vazifelerinden biri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gerçekten cezayı hak eden büyük bir yanlış olduğunu bildirmektir.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 insan için çok önemlidir; onu bırakmak büyük sonuçları olan ciddi bir hatadır.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Yerine tam oturan, hâle uygun ve çok etkili bir anlatım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Yaratılışının amacı ve fıtratının hedefiyle bağlantılı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görevini yerine getirmemesi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zarar verdiği nefis Allah’a ait bir kul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Nefsinin gerçek sahibi olmadığı, ona emanet gibi bakması gerektiği anlatılıyor.</w:t>
            </w:r>
          </w:p>
        </w:tc>
      </w:tr>
    </w:tbl>
  </w:body>
</w:document>
</file>