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21ce862074fa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terk eden kişi, bu parçaya göre önce kime haksızlık 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sebebi ne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Tehdit edilmesinin bir sebebi, nefsin hangi hakkının korunmasıdır?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bırakmak, insanın yaratılışındaki hangi önemli maksadı terk etmek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ibadeti terk etmek, İlahi düzen bakımından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özet kısmında, ibadeti terk edenin iki yönden zulüm işlediği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ile ibadeti terk etmek arasında hangi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terk etmek, kâinattaki kemal hakkında hangi yanlış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suç için ağır uyarı ve ceza verilmesinin metne göre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Kur’an’ın sert üslubu hangi bakımdan yerinde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namazı terk eden kişinin “kendi kendine malik olmaması”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şiddetli uyarısı, nefsin hangi yönüyle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Yaratılışının gayesini ve fıtratındaki kulluk vazifesini bırakmak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Nefsin, sahibine kulluk etme hakkının korunmasıdır.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kendi kendisinin gerçek sahibi değildir; nefsi de Allah’ın kuludur.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kendi nefsine haksızlık etmiş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 ve anlamı inkâr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varlıkların değerini düşüren ve onların hakikatini görmezden gelen bir tavırdır.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kendi nefsine zulmeder hem de kâinatın kemaline karşı haksızlık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hikmetine ve dilemesine karşı bir saldırı gibi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Allah’ın kulu ve mülkü olmasıyla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mutlak anlamda kendi sahibi olmadığını, Allah’ın kulu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Duruma tam uygun olduğu ve gerçeği en etkili şekilde anlattığı için yerinde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davranış hem nefse, hem kâinata, hem de İlahi hikmete karşı ciddi bir haksızlıktır.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bırakılınca sadece bir görev mi eksik kalır, yoksa daha büyük bir anlam mı bozulur?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“Netice-i hilkat” ve “gaye-i fıtrat” ifadeleri sade dille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terk etmek neden sadece kişisel bir hata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 kişinin kâinata karşı suçu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Küfrün mevcudata karşı aşağılayıcı olmasıyla, ibadeti terk etmenin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“kâinatın kemalatını inkâr”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açıklamalara göre cezaya uğramak rastgele mi, yoksa hak edilmiş bir sonuç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güçlü ve sert ifadesi hangi amaca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namazı terk eden kişinin ilk zararı kime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tehdit etmesi, nefsin hangi hakkını almak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İbadet, insanın hayatındaki hangi temel göreve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bırakmak, İlahi hikmet açısından neden yanlış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taşıdığı değer ve kemali yok saymasıdır.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İlahi hikmete ve Rabbani iradeye karşı bir saygısızlık ve saldırı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yaratılışındaki ana hedefi ve varoluş sebebini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büyük bir anlam bozulur; yaratılışın amacı zedelenmiş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ağır suçun ciddiyetini doğru şekilde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edilmiş bir sonuçtur.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Allah’a bakan anlamlı ve değerli yönlerini kabul 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 de varlıkların gerçek değerini küçültür.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yaratılış gayesine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 sebebine ve fıtratına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kulluk hakkını korumak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nefsine verdiği söyleniyor.</w:t>
            </w:r>
          </w:p>
        </w:tc>
      </w:tr>
    </w:tbl>
  </w:body>
</w:document>
</file>