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38ab9569045b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misalde anlatılan ilk sahnede vahşi adam nerede neyi gözlemlemektedir?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neferin hareketiyle daha büyük birliklerin de hareket etmesi neye delalet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Cami örneğinde onun düştüğü yanlış anlamanın dinî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Cemaatin namazdaki birlik içinde hareketini anlamakta hangi noktayı kaçırmaktadır?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inkârcı kişinin kâinata bakışı hangi bakımdan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“Yalnız ilmî varlığı bulunan” ifadesi, tabiat anlayışına hangi sınırlamayı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“tabiat” denilen şeyin hangi yanlışla etkin bir güç gibi gösterildiği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“Kanundur, kudret değildir” hükmü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cümlelerdeki karşılıklı kavramlar nasıl bir öğretim yöntemi işlevi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misalde ordunun bir tek işaretle topluca davranması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Vahşi kişinin “kumandanı ve kanunu” anlamaması, yorumunu nasıl bozmaktadır?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Cemaatin namazdaki hareketleri hangi tür birlikteliğin örneğidir?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Dini hükümlerin ve manevî emirlerin insanları ortak bir düzene sevk ettiğini anlayamamaktadır.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İbadetteki uyumu Allah’ın emri ve şeriatın tesiriyle değil, maddî bir zorlama ile açıklamaya çalışmasıdır.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Bireysel değil, üstten gelen ortak bir sevk ve komuta sistemine delalet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askerî mekâna girip düzenli bir ordunun birlikte yaptığı hareketleri seyretmektedir.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Kural koyucu düzen açıklanabilir; fakat o kuralın kendisi fiilen varlık ortaya çıkaramaz.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ilimde yeri olan kurallar, sanki dış dünyada kendi başına var olan ve iş yapan varlıklar gibi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şeylerin tarif ve açıklama değeri olabileceğini, fakat bağımsız etkin varlık sayılamayacağını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ilahî düzeni, gerçek anlamda varlığı ve kudreti olmayan soyut kanunlara havale ettiği için eleştirilmektedir.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İnanç, emir ve ibadet şuuru etrafında oluşan manevî birlikteliğin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Olayın idare boyutunu göremediği için gerçek sebebi bırakıp hayalî bir sebep uydurmaktadır.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Ortada onları yöneten merkezi bir emir ve düzen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Karıştırılan iki farklı mertebeyi net biçimde ayırarak zihni berraklaştırma işlevi görüyor.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Misaldeki vahşi kişinin hatası ile tabiatı yaratıcı sayan kişinin hatası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ip hayali ile tabiat fikri arasında nasıl bir analoji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yer değiştirme neden mantıksız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kuvvet neden bağımsız bir fail sayılamaz?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“Ahkâm” ile “hâkim” arasındaki ayrım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sonuç kısmı, tabiatın hangi tür bir varlık olmadığını kesinleştirir?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Misaldeki askerî düzeni gören kişinin zihni, olayları açıklarken hangi sınıra takılmaktadır?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Kışladaki sahnede vahşi adamın düşüncesi hangi bilgi eksikliğinden doğmaktadır?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Misalin ikinci bölümünde adam hangi mekâna giriyor ve orada ne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maddî bağ düşüncesini niçin gülünç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İnkârcı kişinin yaptığı temel zihnî işlem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misal, kâinata tabiata dayalı inkâr gözüyle bakan kişi için nasıl uygulanmaktadır?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tabiat-risalesi-p17-3-muhal-2-misal-ve-sonuc-kislamescid-ip-hayali-tabiatin-mahiyetini-reddeden-tarif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kuvvet, ilahî kudretin bir yansımasıdır; kendine ait şuurlu ve bağımsız bir icra makamı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açıklama aracı olan şeyleri, fiilen var eden özne yerine koymak kategorik bir hatadır.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gerçekte iş yapmayan bir şeyi, düzenin asıl faili gibi göstermeye çalışan yanlış açıklamalardır.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görünürdeki düzenin arkasındaki irade ve kanunu görmeyip, etkisiz araçlara gerçek güç yüklemektedir.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Yönetim, disiplin ve emrin insan topluluklarını nasıl sevk ettiğini bilmemesinden doğmaktadır.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Otorite, emir ve kanun fikrini kabul etmediği için sadece kaba maddî açıklamalarla yetinmektedir.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bağımsız, yaratıcı, hükmedici ve kudret sahibi bir fail olmadığını kesinleştirir.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Hükümler, yönetilen sistemi açıklar; fakat bizzat yöneten makam olamaz.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kişi, âlemdeki düzeni Allah’ın hikmetli kanunlarıyla açıklamak yerine, bu kanunları maddî ve bağımsız şeyler gibi düşünmektedir.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ilahî kanunları somut ve bağımsız varlıklarmış gibi düşünerek onlara yaratıcı rol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açıkça manevî ve bilinçli bir itaati, şuursuz fiziksel zorlamaya indirgemek akla aykırıdır.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camiye giriyor; cemaatin tek bir sesle birlikte hareket ettiğini görüyor.</w:t>
            </w:r>
          </w:p>
        </w:tc>
      </w:tr>
    </w:tbl>
  </w:body>
</w:document>
</file>